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86EC7" w14:textId="75EA7049" w:rsidR="00D34002" w:rsidRPr="00844BE5" w:rsidRDefault="00D34002" w:rsidP="00E4089F">
      <w:pPr>
        <w:numPr>
          <w:ilvl w:val="0"/>
          <w:numId w:val="3"/>
        </w:numPr>
        <w:pBdr>
          <w:top w:val="single" w:sz="4" w:space="1" w:color="auto"/>
          <w:left w:val="single" w:sz="4" w:space="4" w:color="auto"/>
          <w:bottom w:val="single" w:sz="4" w:space="1" w:color="auto"/>
          <w:right w:val="single" w:sz="4" w:space="4" w:color="auto"/>
        </w:pBdr>
        <w:tabs>
          <w:tab w:val="left" w:pos="1276"/>
          <w:tab w:val="left" w:pos="1843"/>
        </w:tabs>
        <w:spacing w:before="40" w:after="30" w:line="240" w:lineRule="auto"/>
        <w:ind w:left="1276" w:right="1134" w:hanging="425"/>
        <w:jc w:val="both"/>
        <w:rPr>
          <w:rFonts w:eastAsia="Times New Roman" w:cstheme="minorHAnsi"/>
          <w:b/>
          <w:lang w:eastAsia="es-ES"/>
        </w:rPr>
      </w:pPr>
      <w:r w:rsidRPr="00844BE5">
        <w:rPr>
          <w:rFonts w:eastAsia="Times New Roman" w:cstheme="minorHAnsi"/>
          <w:b/>
          <w:lang w:eastAsia="es-ES"/>
        </w:rPr>
        <w:t>Introducción</w:t>
      </w:r>
    </w:p>
    <w:p w14:paraId="3DE2A9B7" w14:textId="7333CCA1" w:rsidR="00EC3808" w:rsidRPr="00844BE5" w:rsidRDefault="00EC3808" w:rsidP="00E4089F">
      <w:pPr>
        <w:numPr>
          <w:ilvl w:val="0"/>
          <w:numId w:val="3"/>
        </w:numPr>
        <w:pBdr>
          <w:top w:val="single" w:sz="4" w:space="1" w:color="auto"/>
          <w:left w:val="single" w:sz="4" w:space="4" w:color="auto"/>
          <w:bottom w:val="single" w:sz="4" w:space="1" w:color="auto"/>
          <w:right w:val="single" w:sz="4" w:space="4" w:color="auto"/>
        </w:pBdr>
        <w:tabs>
          <w:tab w:val="left" w:pos="1276"/>
          <w:tab w:val="left" w:pos="1843"/>
        </w:tabs>
        <w:spacing w:before="40" w:after="30" w:line="240" w:lineRule="auto"/>
        <w:ind w:left="1276" w:right="1134" w:hanging="425"/>
        <w:jc w:val="both"/>
        <w:rPr>
          <w:rFonts w:eastAsia="Times New Roman" w:cstheme="minorHAnsi"/>
          <w:b/>
          <w:lang w:eastAsia="es-ES"/>
        </w:rPr>
      </w:pPr>
      <w:r w:rsidRPr="00844BE5">
        <w:rPr>
          <w:rFonts w:eastAsia="Times New Roman" w:cstheme="minorHAnsi"/>
          <w:b/>
          <w:lang w:eastAsia="es-ES"/>
        </w:rPr>
        <w:t>Objetivos de la guía</w:t>
      </w:r>
    </w:p>
    <w:p w14:paraId="376EC08E" w14:textId="14DF9941" w:rsidR="00D34002" w:rsidRPr="00844BE5" w:rsidRDefault="00BD41BA" w:rsidP="00E4089F">
      <w:pPr>
        <w:numPr>
          <w:ilvl w:val="0"/>
          <w:numId w:val="3"/>
        </w:numPr>
        <w:pBdr>
          <w:top w:val="single" w:sz="4" w:space="1" w:color="auto"/>
          <w:left w:val="single" w:sz="4" w:space="4" w:color="auto"/>
          <w:bottom w:val="single" w:sz="4" w:space="1" w:color="auto"/>
          <w:right w:val="single" w:sz="4" w:space="4" w:color="auto"/>
        </w:pBdr>
        <w:tabs>
          <w:tab w:val="left" w:pos="1276"/>
          <w:tab w:val="left" w:pos="1843"/>
        </w:tabs>
        <w:spacing w:before="40" w:after="30" w:line="240" w:lineRule="auto"/>
        <w:ind w:left="1276" w:right="1134" w:hanging="425"/>
        <w:jc w:val="both"/>
        <w:rPr>
          <w:rFonts w:eastAsia="Times New Roman" w:cstheme="minorHAnsi"/>
          <w:b/>
          <w:lang w:eastAsia="es-ES"/>
        </w:rPr>
      </w:pPr>
      <w:r>
        <w:rPr>
          <w:rFonts w:eastAsia="Times New Roman" w:cstheme="minorHAnsi"/>
          <w:b/>
          <w:lang w:eastAsia="es-ES"/>
        </w:rPr>
        <w:t>Tipos y c</w:t>
      </w:r>
      <w:r w:rsidR="00BF4CB6" w:rsidRPr="00844BE5">
        <w:rPr>
          <w:rFonts w:eastAsia="Times New Roman" w:cstheme="minorHAnsi"/>
          <w:b/>
          <w:lang w:eastAsia="es-ES"/>
        </w:rPr>
        <w:t>aracterísticas</w:t>
      </w:r>
      <w:r w:rsidR="00E716CC" w:rsidRPr="00844BE5">
        <w:rPr>
          <w:rFonts w:eastAsia="Times New Roman" w:cstheme="minorHAnsi"/>
          <w:b/>
          <w:lang w:eastAsia="es-ES"/>
        </w:rPr>
        <w:t xml:space="preserve"> de los servicios en la nube</w:t>
      </w:r>
    </w:p>
    <w:p w14:paraId="2EDDCF98" w14:textId="3657689B" w:rsidR="00D34002" w:rsidRPr="00844BE5" w:rsidRDefault="003E43C4" w:rsidP="00E4089F">
      <w:pPr>
        <w:numPr>
          <w:ilvl w:val="0"/>
          <w:numId w:val="3"/>
        </w:numPr>
        <w:pBdr>
          <w:top w:val="single" w:sz="4" w:space="1" w:color="auto"/>
          <w:left w:val="single" w:sz="4" w:space="4" w:color="auto"/>
          <w:bottom w:val="single" w:sz="4" w:space="1" w:color="auto"/>
          <w:right w:val="single" w:sz="4" w:space="4" w:color="auto"/>
        </w:pBdr>
        <w:tabs>
          <w:tab w:val="left" w:pos="1276"/>
          <w:tab w:val="left" w:pos="1843"/>
        </w:tabs>
        <w:spacing w:before="40" w:after="30" w:line="240" w:lineRule="auto"/>
        <w:ind w:left="851" w:right="1134" w:firstLine="0"/>
        <w:jc w:val="both"/>
        <w:rPr>
          <w:rFonts w:eastAsia="Times New Roman" w:cstheme="minorHAnsi"/>
          <w:b/>
          <w:lang w:eastAsia="es-ES"/>
        </w:rPr>
      </w:pPr>
      <w:r w:rsidRPr="00844BE5">
        <w:rPr>
          <w:rFonts w:eastAsia="Times New Roman" w:cstheme="minorHAnsi"/>
          <w:b/>
          <w:lang w:eastAsia="es-ES"/>
        </w:rPr>
        <w:t>R</w:t>
      </w:r>
      <w:r w:rsidR="00BF4CB6" w:rsidRPr="00844BE5">
        <w:rPr>
          <w:rFonts w:eastAsia="Times New Roman" w:cstheme="minorHAnsi"/>
          <w:b/>
          <w:lang w:eastAsia="es-ES"/>
        </w:rPr>
        <w:t>iesgos</w:t>
      </w:r>
      <w:r w:rsidRPr="00844BE5">
        <w:rPr>
          <w:rFonts w:eastAsia="Times New Roman" w:cstheme="minorHAnsi"/>
          <w:b/>
          <w:lang w:eastAsia="es-ES"/>
        </w:rPr>
        <w:t xml:space="preserve"> </w:t>
      </w:r>
      <w:r w:rsidR="00EC3808" w:rsidRPr="00844BE5">
        <w:rPr>
          <w:rFonts w:eastAsia="Times New Roman" w:cstheme="minorHAnsi"/>
          <w:b/>
          <w:lang w:eastAsia="es-ES"/>
        </w:rPr>
        <w:t>significativos</w:t>
      </w:r>
      <w:r w:rsidR="0083530C">
        <w:rPr>
          <w:rFonts w:eastAsia="Times New Roman" w:cstheme="minorHAnsi"/>
          <w:b/>
          <w:lang w:eastAsia="es-ES"/>
        </w:rPr>
        <w:t xml:space="preserve"> del uso de la computación en la nube</w:t>
      </w:r>
    </w:p>
    <w:p w14:paraId="17AE8A54" w14:textId="79CFF108" w:rsidR="003E43C4" w:rsidRPr="00844BE5" w:rsidRDefault="00815056" w:rsidP="00E4089F">
      <w:pPr>
        <w:numPr>
          <w:ilvl w:val="0"/>
          <w:numId w:val="3"/>
        </w:numPr>
        <w:pBdr>
          <w:top w:val="single" w:sz="4" w:space="1" w:color="auto"/>
          <w:left w:val="single" w:sz="4" w:space="4" w:color="auto"/>
          <w:bottom w:val="single" w:sz="4" w:space="1" w:color="auto"/>
          <w:right w:val="single" w:sz="4" w:space="4" w:color="auto"/>
        </w:pBdr>
        <w:tabs>
          <w:tab w:val="left" w:pos="1276"/>
          <w:tab w:val="left" w:pos="1843"/>
        </w:tabs>
        <w:spacing w:before="40" w:after="30" w:line="240" w:lineRule="auto"/>
        <w:ind w:left="851" w:right="1134" w:firstLine="0"/>
        <w:jc w:val="both"/>
        <w:rPr>
          <w:rFonts w:eastAsia="Times New Roman" w:cstheme="minorHAnsi"/>
          <w:b/>
          <w:lang w:eastAsia="es-ES"/>
        </w:rPr>
      </w:pPr>
      <w:r>
        <w:rPr>
          <w:rFonts w:ascii="Calibri" w:hAnsi="Calibri" w:cs="Calibri"/>
          <w:b/>
        </w:rPr>
        <w:t>Responsabilidades del proveedor del servicio cloud y del cliente</w:t>
      </w:r>
    </w:p>
    <w:p w14:paraId="79603A2C" w14:textId="3B7E09D0" w:rsidR="00622AD5" w:rsidRPr="00844BE5" w:rsidRDefault="00622AD5" w:rsidP="00E4089F">
      <w:pPr>
        <w:numPr>
          <w:ilvl w:val="0"/>
          <w:numId w:val="3"/>
        </w:numPr>
        <w:pBdr>
          <w:top w:val="single" w:sz="4" w:space="1" w:color="auto"/>
          <w:left w:val="single" w:sz="4" w:space="4" w:color="auto"/>
          <w:bottom w:val="single" w:sz="4" w:space="1" w:color="auto"/>
          <w:right w:val="single" w:sz="4" w:space="4" w:color="auto"/>
        </w:pBdr>
        <w:tabs>
          <w:tab w:val="left" w:pos="1276"/>
          <w:tab w:val="left" w:pos="1843"/>
        </w:tabs>
        <w:spacing w:before="40" w:after="30" w:line="240" w:lineRule="auto"/>
        <w:ind w:left="851" w:right="1134" w:firstLine="0"/>
        <w:jc w:val="both"/>
        <w:rPr>
          <w:rFonts w:eastAsia="Times New Roman" w:cstheme="minorHAnsi"/>
          <w:b/>
          <w:lang w:eastAsia="es-ES"/>
        </w:rPr>
      </w:pPr>
      <w:r w:rsidRPr="00844BE5">
        <w:rPr>
          <w:rFonts w:eastAsia="Times New Roman" w:cstheme="minorHAnsi"/>
          <w:b/>
          <w:lang w:eastAsia="es-ES"/>
        </w:rPr>
        <w:t>Contratación</w:t>
      </w:r>
      <w:r w:rsidR="0061743A" w:rsidRPr="00844BE5">
        <w:rPr>
          <w:rFonts w:eastAsia="Times New Roman" w:cstheme="minorHAnsi"/>
          <w:b/>
          <w:lang w:eastAsia="es-ES"/>
        </w:rPr>
        <w:t xml:space="preserve"> del servicio</w:t>
      </w:r>
    </w:p>
    <w:p w14:paraId="0E71C30D" w14:textId="12D818E6" w:rsidR="007B277D" w:rsidRPr="00844BE5" w:rsidRDefault="0083530C" w:rsidP="00E4089F">
      <w:pPr>
        <w:numPr>
          <w:ilvl w:val="0"/>
          <w:numId w:val="3"/>
        </w:numPr>
        <w:pBdr>
          <w:top w:val="single" w:sz="4" w:space="1" w:color="auto"/>
          <w:left w:val="single" w:sz="4" w:space="4" w:color="auto"/>
          <w:bottom w:val="single" w:sz="4" w:space="1" w:color="auto"/>
          <w:right w:val="single" w:sz="4" w:space="4" w:color="auto"/>
        </w:pBdr>
        <w:tabs>
          <w:tab w:val="left" w:pos="1276"/>
          <w:tab w:val="left" w:pos="1843"/>
        </w:tabs>
        <w:spacing w:before="40" w:after="30" w:line="240" w:lineRule="auto"/>
        <w:ind w:left="851" w:right="1134" w:firstLine="0"/>
        <w:jc w:val="both"/>
        <w:rPr>
          <w:rFonts w:eastAsia="Times New Roman" w:cstheme="minorHAnsi"/>
          <w:b/>
          <w:lang w:eastAsia="es-ES"/>
        </w:rPr>
      </w:pPr>
      <w:r>
        <w:rPr>
          <w:rFonts w:eastAsia="Times New Roman" w:cstheme="minorHAnsi"/>
          <w:b/>
          <w:lang w:eastAsia="es-ES"/>
        </w:rPr>
        <w:t>Consideraciones que deben realizarse en una auditoría</w:t>
      </w:r>
      <w:r w:rsidR="00344D48">
        <w:rPr>
          <w:rFonts w:eastAsia="Times New Roman" w:cstheme="minorHAnsi"/>
          <w:b/>
          <w:lang w:eastAsia="es-ES"/>
        </w:rPr>
        <w:t xml:space="preserve"> financiera</w:t>
      </w:r>
    </w:p>
    <w:p w14:paraId="12FFD701" w14:textId="6C855434" w:rsidR="00D34002" w:rsidRPr="00844BE5" w:rsidRDefault="00D34002" w:rsidP="00E4089F">
      <w:pPr>
        <w:numPr>
          <w:ilvl w:val="0"/>
          <w:numId w:val="3"/>
        </w:numPr>
        <w:pBdr>
          <w:top w:val="single" w:sz="4" w:space="1" w:color="auto"/>
          <w:left w:val="single" w:sz="4" w:space="4" w:color="auto"/>
          <w:bottom w:val="single" w:sz="4" w:space="1" w:color="auto"/>
          <w:right w:val="single" w:sz="4" w:space="4" w:color="auto"/>
        </w:pBdr>
        <w:tabs>
          <w:tab w:val="left" w:pos="1276"/>
          <w:tab w:val="left" w:pos="1843"/>
        </w:tabs>
        <w:spacing w:before="40" w:after="30" w:line="240" w:lineRule="auto"/>
        <w:ind w:left="851" w:right="1134" w:firstLine="0"/>
        <w:jc w:val="both"/>
        <w:rPr>
          <w:rFonts w:eastAsia="Times New Roman" w:cstheme="minorHAnsi"/>
          <w:b/>
          <w:lang w:eastAsia="es-ES"/>
        </w:rPr>
      </w:pPr>
      <w:r w:rsidRPr="00844BE5">
        <w:rPr>
          <w:rFonts w:eastAsia="Times New Roman" w:cstheme="minorHAnsi"/>
          <w:b/>
          <w:lang w:eastAsia="es-ES"/>
        </w:rPr>
        <w:t>Bibliografía</w:t>
      </w:r>
    </w:p>
    <w:p w14:paraId="51FC3A1D" w14:textId="77777777" w:rsidR="0056038A" w:rsidRPr="00844BE5" w:rsidRDefault="0056038A" w:rsidP="00E4089F">
      <w:pPr>
        <w:pBdr>
          <w:top w:val="single" w:sz="4" w:space="1" w:color="auto"/>
          <w:left w:val="single" w:sz="4" w:space="4" w:color="auto"/>
          <w:bottom w:val="single" w:sz="4" w:space="1" w:color="auto"/>
          <w:right w:val="single" w:sz="4" w:space="4" w:color="auto"/>
        </w:pBdr>
        <w:tabs>
          <w:tab w:val="left" w:pos="1276"/>
          <w:tab w:val="left" w:pos="1843"/>
        </w:tabs>
        <w:spacing w:before="40" w:after="30" w:line="240" w:lineRule="auto"/>
        <w:ind w:left="851" w:right="1134"/>
        <w:jc w:val="both"/>
        <w:rPr>
          <w:rFonts w:eastAsia="Times New Roman" w:cstheme="minorHAnsi"/>
          <w:b/>
          <w:lang w:eastAsia="es-ES"/>
        </w:rPr>
      </w:pPr>
    </w:p>
    <w:p w14:paraId="4AAAD348" w14:textId="0D778838" w:rsidR="0034700D" w:rsidRDefault="0034700D" w:rsidP="00F63F86">
      <w:pPr>
        <w:pBdr>
          <w:top w:val="single" w:sz="4" w:space="1" w:color="auto"/>
          <w:left w:val="single" w:sz="4" w:space="4" w:color="auto"/>
          <w:bottom w:val="single" w:sz="4" w:space="1" w:color="auto"/>
          <w:right w:val="single" w:sz="4" w:space="4" w:color="auto"/>
        </w:pBdr>
        <w:tabs>
          <w:tab w:val="left" w:pos="1276"/>
          <w:tab w:val="left" w:pos="1843"/>
        </w:tabs>
        <w:spacing w:before="40" w:after="30" w:line="240" w:lineRule="auto"/>
        <w:ind w:left="1276" w:right="1134" w:hanging="425"/>
        <w:jc w:val="both"/>
        <w:rPr>
          <w:rFonts w:eastAsia="Times New Roman" w:cstheme="minorHAnsi"/>
          <w:b/>
          <w:lang w:eastAsia="es-ES"/>
        </w:rPr>
      </w:pPr>
      <w:r w:rsidRPr="00844BE5">
        <w:rPr>
          <w:rFonts w:eastAsia="Times New Roman" w:cstheme="minorHAnsi"/>
          <w:b/>
          <w:lang w:eastAsia="es-ES"/>
        </w:rPr>
        <w:t>Anexo</w:t>
      </w:r>
      <w:r w:rsidR="0056038A" w:rsidRPr="00844BE5">
        <w:rPr>
          <w:rFonts w:eastAsia="Times New Roman" w:cstheme="minorHAnsi"/>
          <w:b/>
          <w:lang w:eastAsia="es-ES"/>
        </w:rPr>
        <w:t xml:space="preserve"> </w:t>
      </w:r>
      <w:r w:rsidR="00F63F86">
        <w:rPr>
          <w:rFonts w:eastAsia="Times New Roman" w:cstheme="minorHAnsi"/>
          <w:b/>
          <w:lang w:eastAsia="es-ES"/>
        </w:rPr>
        <w:t>1</w:t>
      </w:r>
      <w:r w:rsidR="0056038A" w:rsidRPr="00844BE5">
        <w:rPr>
          <w:rFonts w:eastAsia="Times New Roman" w:cstheme="minorHAnsi"/>
          <w:b/>
          <w:lang w:eastAsia="es-ES"/>
        </w:rPr>
        <w:t xml:space="preserve"> </w:t>
      </w:r>
      <w:r w:rsidR="0056038A" w:rsidRPr="00844BE5">
        <w:rPr>
          <w:rFonts w:eastAsia="Times New Roman" w:cstheme="minorHAnsi"/>
          <w:b/>
          <w:lang w:eastAsia="es-ES"/>
        </w:rPr>
        <w:tab/>
      </w:r>
      <w:r w:rsidR="0071128C">
        <w:rPr>
          <w:rFonts w:eastAsia="Times New Roman" w:cstheme="minorHAnsi"/>
          <w:b/>
          <w:lang w:eastAsia="es-ES"/>
        </w:rPr>
        <w:t>Adaptación</w:t>
      </w:r>
      <w:r w:rsidR="00F63F86">
        <w:rPr>
          <w:rFonts w:eastAsia="Times New Roman" w:cstheme="minorHAnsi"/>
          <w:b/>
          <w:lang w:eastAsia="es-ES"/>
        </w:rPr>
        <w:t xml:space="preserve"> de los CGTI </w:t>
      </w:r>
      <w:r w:rsidR="0071128C">
        <w:rPr>
          <w:rFonts w:eastAsia="Times New Roman" w:cstheme="minorHAnsi"/>
          <w:b/>
          <w:lang w:eastAsia="es-ES"/>
        </w:rPr>
        <w:t>a</w:t>
      </w:r>
      <w:r w:rsidR="00F63F86">
        <w:rPr>
          <w:rFonts w:eastAsia="Times New Roman" w:cstheme="minorHAnsi"/>
          <w:b/>
          <w:lang w:eastAsia="es-ES"/>
        </w:rPr>
        <w:t xml:space="preserve"> entornos cloud</w:t>
      </w:r>
    </w:p>
    <w:p w14:paraId="72E5B7C2" w14:textId="3E40272B" w:rsidR="00F63F86" w:rsidRDefault="00F63F86" w:rsidP="00F63F86">
      <w:pPr>
        <w:pBdr>
          <w:top w:val="single" w:sz="4" w:space="1" w:color="auto"/>
          <w:left w:val="single" w:sz="4" w:space="4" w:color="auto"/>
          <w:bottom w:val="single" w:sz="4" w:space="1" w:color="auto"/>
          <w:right w:val="single" w:sz="4" w:space="4" w:color="auto"/>
        </w:pBdr>
        <w:tabs>
          <w:tab w:val="left" w:pos="1276"/>
          <w:tab w:val="left" w:pos="1843"/>
        </w:tabs>
        <w:spacing w:before="40" w:after="30" w:line="240" w:lineRule="auto"/>
        <w:ind w:left="1276" w:right="1134" w:hanging="425"/>
        <w:jc w:val="both"/>
        <w:rPr>
          <w:rFonts w:eastAsia="Times New Roman" w:cstheme="minorHAnsi"/>
          <w:b/>
          <w:lang w:eastAsia="es-ES"/>
        </w:rPr>
      </w:pPr>
      <w:r w:rsidRPr="00844BE5">
        <w:rPr>
          <w:rFonts w:eastAsia="Times New Roman" w:cstheme="minorHAnsi"/>
          <w:b/>
          <w:lang w:eastAsia="es-ES"/>
        </w:rPr>
        <w:t xml:space="preserve">Anexo </w:t>
      </w:r>
      <w:r>
        <w:rPr>
          <w:rFonts w:eastAsia="Times New Roman" w:cstheme="minorHAnsi"/>
          <w:b/>
          <w:lang w:eastAsia="es-ES"/>
        </w:rPr>
        <w:t>2</w:t>
      </w:r>
      <w:r w:rsidRPr="00844BE5">
        <w:rPr>
          <w:rFonts w:eastAsia="Times New Roman" w:cstheme="minorHAnsi"/>
          <w:b/>
          <w:lang w:eastAsia="es-ES"/>
        </w:rPr>
        <w:t xml:space="preserve"> </w:t>
      </w:r>
      <w:r w:rsidRPr="00844BE5">
        <w:rPr>
          <w:rFonts w:eastAsia="Times New Roman" w:cstheme="minorHAnsi"/>
          <w:b/>
          <w:lang w:eastAsia="es-ES"/>
        </w:rPr>
        <w:tab/>
      </w:r>
      <w:r>
        <w:rPr>
          <w:rFonts w:eastAsia="Times New Roman" w:cstheme="minorHAnsi"/>
          <w:b/>
          <w:lang w:eastAsia="es-ES"/>
        </w:rPr>
        <w:t xml:space="preserve">Revisión </w:t>
      </w:r>
      <w:r w:rsidR="00105D43">
        <w:rPr>
          <w:rFonts w:eastAsia="Times New Roman" w:cstheme="minorHAnsi"/>
          <w:b/>
          <w:lang w:eastAsia="es-ES"/>
        </w:rPr>
        <w:t>del</w:t>
      </w:r>
      <w:r>
        <w:rPr>
          <w:rFonts w:eastAsia="Times New Roman" w:cstheme="minorHAnsi"/>
          <w:b/>
          <w:lang w:eastAsia="es-ES"/>
        </w:rPr>
        <w:t xml:space="preserve"> </w:t>
      </w:r>
      <w:r w:rsidRPr="00844BE5">
        <w:rPr>
          <w:rFonts w:eastAsia="Times New Roman" w:cstheme="minorHAnsi"/>
          <w:b/>
          <w:lang w:eastAsia="es-ES"/>
        </w:rPr>
        <w:t xml:space="preserve">contrato </w:t>
      </w:r>
      <w:r>
        <w:rPr>
          <w:rFonts w:eastAsia="Times New Roman" w:cstheme="minorHAnsi"/>
          <w:b/>
          <w:lang w:eastAsia="es-ES"/>
        </w:rPr>
        <w:t>regula</w:t>
      </w:r>
      <w:r w:rsidR="00105D43">
        <w:rPr>
          <w:rFonts w:eastAsia="Times New Roman" w:cstheme="minorHAnsi"/>
          <w:b/>
          <w:lang w:eastAsia="es-ES"/>
        </w:rPr>
        <w:t xml:space="preserve">dor de un </w:t>
      </w:r>
      <w:r w:rsidRPr="00844BE5">
        <w:rPr>
          <w:rFonts w:eastAsia="Times New Roman" w:cstheme="minorHAnsi"/>
          <w:b/>
          <w:lang w:eastAsia="es-ES"/>
        </w:rPr>
        <w:t>servicio cloud</w:t>
      </w:r>
    </w:p>
    <w:p w14:paraId="650A4F5C" w14:textId="77777777" w:rsidR="00E64F11" w:rsidRPr="00844BE5" w:rsidRDefault="00E93AE6" w:rsidP="00844BE5">
      <w:pPr>
        <w:pStyle w:val="Prrafodelista"/>
        <w:numPr>
          <w:ilvl w:val="0"/>
          <w:numId w:val="4"/>
        </w:numPr>
        <w:spacing w:before="240" w:after="0" w:line="240" w:lineRule="auto"/>
        <w:ind w:left="567" w:hanging="567"/>
        <w:contextualSpacing w:val="0"/>
        <w:jc w:val="both"/>
        <w:rPr>
          <w:rFonts w:cstheme="minorHAnsi"/>
          <w:b/>
        </w:rPr>
      </w:pPr>
      <w:r w:rsidRPr="00844BE5">
        <w:rPr>
          <w:rFonts w:cstheme="minorHAnsi"/>
          <w:b/>
        </w:rPr>
        <w:t>Introducción</w:t>
      </w:r>
    </w:p>
    <w:p w14:paraId="0DB04189" w14:textId="4A86E956" w:rsidR="00241042" w:rsidRPr="00844BE5" w:rsidRDefault="001247C9" w:rsidP="00844BE5">
      <w:pPr>
        <w:autoSpaceDE w:val="0"/>
        <w:autoSpaceDN w:val="0"/>
        <w:adjustRightInd w:val="0"/>
        <w:spacing w:before="120" w:after="0" w:line="240" w:lineRule="auto"/>
        <w:jc w:val="both"/>
        <w:rPr>
          <w:rFonts w:cstheme="minorHAnsi"/>
        </w:rPr>
      </w:pPr>
      <w:r w:rsidRPr="00844BE5">
        <w:rPr>
          <w:rFonts w:cstheme="minorHAnsi"/>
        </w:rPr>
        <w:t xml:space="preserve">En </w:t>
      </w:r>
      <w:r w:rsidR="00741C80">
        <w:rPr>
          <w:rFonts w:cstheme="minorHAnsi"/>
        </w:rPr>
        <w:t>los últimos años</w:t>
      </w:r>
      <w:r w:rsidR="00E42280" w:rsidRPr="00844BE5">
        <w:rPr>
          <w:rFonts w:cstheme="minorHAnsi"/>
        </w:rPr>
        <w:t xml:space="preserve">, en paralelo a la expansión de la digitalización </w:t>
      </w:r>
      <w:r w:rsidR="00B37B8C" w:rsidRPr="00844BE5">
        <w:rPr>
          <w:rFonts w:cstheme="minorHAnsi"/>
        </w:rPr>
        <w:t>en</w:t>
      </w:r>
      <w:r w:rsidR="00E42280" w:rsidRPr="00844BE5">
        <w:rPr>
          <w:rFonts w:cstheme="minorHAnsi"/>
        </w:rPr>
        <w:t xml:space="preserve"> todos los</w:t>
      </w:r>
      <w:r w:rsidR="00B37B8C" w:rsidRPr="00844BE5">
        <w:rPr>
          <w:rFonts w:cstheme="minorHAnsi"/>
        </w:rPr>
        <w:t xml:space="preserve"> </w:t>
      </w:r>
      <w:r w:rsidR="00E42280" w:rsidRPr="00844BE5">
        <w:rPr>
          <w:rFonts w:cstheme="minorHAnsi"/>
        </w:rPr>
        <w:t>niveles</w:t>
      </w:r>
      <w:r w:rsidR="00B37B8C" w:rsidRPr="00844BE5">
        <w:rPr>
          <w:rFonts w:cstheme="minorHAnsi"/>
        </w:rPr>
        <w:t xml:space="preserve"> de la gestión pública</w:t>
      </w:r>
      <w:r w:rsidR="00D721B9" w:rsidRPr="00844BE5">
        <w:rPr>
          <w:rFonts w:cstheme="minorHAnsi"/>
        </w:rPr>
        <w:t>, se</w:t>
      </w:r>
      <w:r w:rsidRPr="00844BE5">
        <w:rPr>
          <w:rFonts w:cstheme="minorHAnsi"/>
        </w:rPr>
        <w:t xml:space="preserve"> ha incrementado el acceso a servicios a través de Internet desde diferentes dispositivos. </w:t>
      </w:r>
      <w:r w:rsidR="00E3471E" w:rsidRPr="00844BE5">
        <w:rPr>
          <w:rFonts w:cstheme="minorHAnsi"/>
        </w:rPr>
        <w:t xml:space="preserve">Este hecho ha supuesto un </w:t>
      </w:r>
      <w:r w:rsidR="00B37B8C" w:rsidRPr="00844BE5">
        <w:rPr>
          <w:rFonts w:cstheme="minorHAnsi"/>
        </w:rPr>
        <w:t xml:space="preserve">importante </w:t>
      </w:r>
      <w:r w:rsidR="00E3471E" w:rsidRPr="00844BE5">
        <w:rPr>
          <w:rFonts w:cstheme="minorHAnsi"/>
        </w:rPr>
        <w:t>auge en el uso de las tecnologías web como estándar</w:t>
      </w:r>
      <w:r w:rsidR="00241042" w:rsidRPr="00844BE5">
        <w:rPr>
          <w:rFonts w:cstheme="minorHAnsi"/>
        </w:rPr>
        <w:t xml:space="preserve">, derivando </w:t>
      </w:r>
      <w:r w:rsidR="00B37B8C" w:rsidRPr="00844BE5">
        <w:rPr>
          <w:rFonts w:cstheme="minorHAnsi"/>
        </w:rPr>
        <w:t xml:space="preserve">también </w:t>
      </w:r>
      <w:r w:rsidR="00241042" w:rsidRPr="00844BE5">
        <w:rPr>
          <w:rFonts w:cstheme="minorHAnsi"/>
        </w:rPr>
        <w:t>en la externalización de muchos sistemas de información.</w:t>
      </w:r>
    </w:p>
    <w:p w14:paraId="3E458AEC" w14:textId="34B26DFF" w:rsidR="004F66CE" w:rsidRPr="00844BE5" w:rsidRDefault="001247C9" w:rsidP="00844BE5">
      <w:pPr>
        <w:autoSpaceDE w:val="0"/>
        <w:autoSpaceDN w:val="0"/>
        <w:adjustRightInd w:val="0"/>
        <w:spacing w:before="120" w:after="0" w:line="240" w:lineRule="auto"/>
        <w:jc w:val="both"/>
        <w:rPr>
          <w:rFonts w:cstheme="minorHAnsi"/>
        </w:rPr>
      </w:pPr>
      <w:r w:rsidRPr="00844BE5">
        <w:rPr>
          <w:rFonts w:cstheme="minorHAnsi"/>
        </w:rPr>
        <w:t>Surge así el modelo de servicios en la nube</w:t>
      </w:r>
      <w:r w:rsidR="00741C80">
        <w:rPr>
          <w:rStyle w:val="Refdenotaalpie"/>
          <w:rFonts w:cstheme="minorHAnsi"/>
        </w:rPr>
        <w:footnoteReference w:id="1"/>
      </w:r>
      <w:r w:rsidRPr="00844BE5">
        <w:rPr>
          <w:rFonts w:cstheme="minorHAnsi"/>
        </w:rPr>
        <w:t>, donde entidades o proveedores</w:t>
      </w:r>
      <w:r w:rsidR="004967ED" w:rsidRPr="00844BE5">
        <w:rPr>
          <w:rFonts w:cstheme="minorHAnsi"/>
        </w:rPr>
        <w:t xml:space="preserve"> (CSP, </w:t>
      </w:r>
      <w:r w:rsidR="004967ED" w:rsidRPr="00844BE5">
        <w:rPr>
          <w:rFonts w:cstheme="minorHAnsi"/>
          <w:i/>
        </w:rPr>
        <w:t>Cloud Service Provider</w:t>
      </w:r>
      <w:r w:rsidR="004967ED" w:rsidRPr="00844BE5">
        <w:rPr>
          <w:rFonts w:cstheme="minorHAnsi"/>
        </w:rPr>
        <w:t>)</w:t>
      </w:r>
      <w:r w:rsidRPr="00844BE5">
        <w:rPr>
          <w:rFonts w:cstheme="minorHAnsi"/>
        </w:rPr>
        <w:t xml:space="preserve"> ofrecen servicios en red, con independencia de dónde se encuentren alojados los sistemas de información que </w:t>
      </w:r>
      <w:r w:rsidR="00480238" w:rsidRPr="00844BE5">
        <w:rPr>
          <w:rFonts w:cstheme="minorHAnsi"/>
        </w:rPr>
        <w:t>soportan dichos servicios</w:t>
      </w:r>
      <w:r w:rsidRPr="00844BE5">
        <w:rPr>
          <w:rFonts w:cstheme="minorHAnsi"/>
        </w:rPr>
        <w:t>, y de forma transparente para el usuario final.</w:t>
      </w:r>
      <w:r w:rsidR="00D2324F" w:rsidRPr="00844BE5">
        <w:rPr>
          <w:rFonts w:cstheme="minorHAnsi"/>
        </w:rPr>
        <w:t xml:space="preserve"> </w:t>
      </w:r>
    </w:p>
    <w:p w14:paraId="435A314F" w14:textId="77777777" w:rsidR="00FE3561" w:rsidRDefault="00FE3561" w:rsidP="00FE3561">
      <w:pPr>
        <w:autoSpaceDE w:val="0"/>
        <w:autoSpaceDN w:val="0"/>
        <w:adjustRightInd w:val="0"/>
        <w:spacing w:before="120" w:after="120" w:line="240" w:lineRule="auto"/>
        <w:jc w:val="center"/>
        <w:rPr>
          <w:rFonts w:cstheme="minorHAnsi"/>
          <w:sz w:val="20"/>
          <w:szCs w:val="20"/>
        </w:rPr>
      </w:pPr>
      <w:r>
        <w:rPr>
          <w:noProof/>
          <w:lang w:eastAsia="es-ES"/>
        </w:rPr>
        <w:drawing>
          <wp:inline distT="0" distB="0" distL="0" distR="0" wp14:anchorId="2014C04B" wp14:editId="71D08518">
            <wp:extent cx="4393870" cy="2451750"/>
            <wp:effectExtent l="0" t="0" r="6985"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9679" cy="2477311"/>
                    </a:xfrm>
                    <a:prstGeom prst="rect">
                      <a:avLst/>
                    </a:prstGeom>
                  </pic:spPr>
                </pic:pic>
              </a:graphicData>
            </a:graphic>
          </wp:inline>
        </w:drawing>
      </w:r>
    </w:p>
    <w:p w14:paraId="3CA7ED6F" w14:textId="2A284854" w:rsidR="00844BE5" w:rsidRDefault="00844BE5" w:rsidP="00844BE5">
      <w:pPr>
        <w:autoSpaceDE w:val="0"/>
        <w:autoSpaceDN w:val="0"/>
        <w:adjustRightInd w:val="0"/>
        <w:spacing w:before="120" w:after="120" w:line="240" w:lineRule="auto"/>
        <w:ind w:left="993"/>
        <w:rPr>
          <w:rFonts w:cstheme="minorHAnsi"/>
          <w:sz w:val="20"/>
          <w:szCs w:val="20"/>
        </w:rPr>
      </w:pPr>
      <w:r>
        <w:rPr>
          <w:rFonts w:cstheme="minorHAnsi"/>
          <w:sz w:val="20"/>
          <w:szCs w:val="20"/>
        </w:rPr>
        <w:t>Fuente: CNN</w:t>
      </w:r>
      <w:r w:rsidR="0028465C">
        <w:rPr>
          <w:rFonts w:cstheme="minorHAnsi"/>
          <w:sz w:val="20"/>
          <w:szCs w:val="20"/>
        </w:rPr>
        <w:t>-STIC-823</w:t>
      </w:r>
    </w:p>
    <w:p w14:paraId="002A8F72" w14:textId="3EDE5801" w:rsidR="00844BE5" w:rsidRPr="00844BE5" w:rsidRDefault="00844BE5" w:rsidP="00844BE5">
      <w:pPr>
        <w:autoSpaceDE w:val="0"/>
        <w:autoSpaceDN w:val="0"/>
        <w:adjustRightInd w:val="0"/>
        <w:spacing w:before="120" w:after="0" w:line="240" w:lineRule="auto"/>
        <w:jc w:val="both"/>
        <w:rPr>
          <w:rFonts w:cstheme="minorHAnsi"/>
        </w:rPr>
      </w:pPr>
      <w:r w:rsidRPr="00844BE5">
        <w:rPr>
          <w:rFonts w:cstheme="minorHAnsi"/>
        </w:rPr>
        <w:t>Una de las definiciones de servicios en la nube con mayor aceptación es la propuesta por el NIST</w:t>
      </w:r>
      <w:r w:rsidRPr="00844BE5">
        <w:rPr>
          <w:rStyle w:val="Refdenotaalpie"/>
          <w:rFonts w:cstheme="minorHAnsi"/>
        </w:rPr>
        <w:footnoteReference w:id="2"/>
      </w:r>
      <w:r w:rsidRPr="00844BE5">
        <w:rPr>
          <w:rFonts w:cstheme="minorHAnsi"/>
        </w:rPr>
        <w:t xml:space="preserve">: “La provisión de servicios en la nube es un modelo para permitir el acceso por red, de forma práctica y bajo demanda, a un conjunto de recursos de computación configurables (por ejemplo, redes, </w:t>
      </w:r>
      <w:r w:rsidRPr="00844BE5">
        <w:rPr>
          <w:rFonts w:cstheme="minorHAnsi"/>
        </w:rPr>
        <w:lastRenderedPageBreak/>
        <w:t>servidores, almacenamiento, aplicaciones y servicios) que pueden ser suministrados y desplegados rápidamente con una mínima gestión o interacción con el proveedor de servicio”</w:t>
      </w:r>
      <w:r w:rsidR="00105D43">
        <w:rPr>
          <w:rFonts w:cstheme="minorHAnsi"/>
        </w:rPr>
        <w:t>.</w:t>
      </w:r>
      <w:r w:rsidRPr="00844BE5">
        <w:rPr>
          <w:rFonts w:cstheme="minorHAnsi"/>
        </w:rPr>
        <w:t xml:space="preserve"> </w:t>
      </w:r>
    </w:p>
    <w:p w14:paraId="79FDEBD1" w14:textId="092893E1" w:rsidR="001709E0" w:rsidRDefault="001709E0" w:rsidP="00844BE5">
      <w:pPr>
        <w:autoSpaceDE w:val="0"/>
        <w:autoSpaceDN w:val="0"/>
        <w:adjustRightInd w:val="0"/>
        <w:spacing w:before="120" w:after="0" w:line="240" w:lineRule="auto"/>
        <w:jc w:val="both"/>
        <w:rPr>
          <w:rFonts w:cstheme="minorHAnsi"/>
        </w:rPr>
      </w:pPr>
      <w:r w:rsidRPr="00844BE5">
        <w:rPr>
          <w:rFonts w:cstheme="minorHAnsi"/>
        </w:rPr>
        <w:t xml:space="preserve">El modelo de computación en la nube o cloud computing </w:t>
      </w:r>
      <w:r w:rsidR="00B140FA">
        <w:rPr>
          <w:rFonts w:cstheme="minorHAnsi"/>
        </w:rPr>
        <w:t>se utiliza cada vez más</w:t>
      </w:r>
      <w:r w:rsidR="00105D43">
        <w:rPr>
          <w:rFonts w:cstheme="minorHAnsi"/>
        </w:rPr>
        <w:t>. O</w:t>
      </w:r>
      <w:r w:rsidRPr="00844BE5">
        <w:rPr>
          <w:rFonts w:cstheme="minorHAnsi"/>
        </w:rPr>
        <w:t xml:space="preserve">frece a las organizaciones </w:t>
      </w:r>
      <w:r w:rsidRPr="003B1DF6">
        <w:rPr>
          <w:rFonts w:cstheme="minorHAnsi"/>
          <w:b/>
        </w:rPr>
        <w:t>grandes beneficios</w:t>
      </w:r>
      <w:r w:rsidRPr="00844BE5">
        <w:rPr>
          <w:rStyle w:val="Refdenotaalpie"/>
          <w:rFonts w:cstheme="minorHAnsi"/>
        </w:rPr>
        <w:footnoteReference w:id="3"/>
      </w:r>
      <w:r w:rsidRPr="00844BE5">
        <w:rPr>
          <w:rFonts w:cstheme="minorHAnsi"/>
        </w:rPr>
        <w:t xml:space="preserve">, como la deslocalización, alta disponibilidad, acceso a la información desde cualquier lugar, flexibilidad en la asignación de recursos y ahorros económicos, pero también conlleva </w:t>
      </w:r>
      <w:r w:rsidRPr="003B1DF6">
        <w:rPr>
          <w:rFonts w:cstheme="minorHAnsi"/>
          <w:b/>
        </w:rPr>
        <w:t>riesgos significativos</w:t>
      </w:r>
      <w:r w:rsidRPr="00844BE5">
        <w:rPr>
          <w:rFonts w:cstheme="minorHAnsi"/>
        </w:rPr>
        <w:t xml:space="preserve"> que deben ser previstos</w:t>
      </w:r>
      <w:r w:rsidR="003B1DF6">
        <w:rPr>
          <w:rFonts w:cstheme="minorHAnsi"/>
        </w:rPr>
        <w:t xml:space="preserve"> por las entidades usuarias y considerados </w:t>
      </w:r>
      <w:r w:rsidRPr="00844BE5">
        <w:rPr>
          <w:rFonts w:cstheme="minorHAnsi"/>
        </w:rPr>
        <w:t>en los trabajos de auditoría.</w:t>
      </w:r>
      <w:r w:rsidR="00844BE5" w:rsidRPr="00844BE5">
        <w:rPr>
          <w:rFonts w:cstheme="minorHAnsi"/>
        </w:rPr>
        <w:t xml:space="preserve"> Estos riesgos están relacionados fundamentalmente con la seguridad de la información procesada y almacenada en la nube.</w:t>
      </w:r>
    </w:p>
    <w:p w14:paraId="2B9DAF83" w14:textId="2258979E" w:rsidR="00741C80" w:rsidRDefault="00741C80" w:rsidP="00844BE5">
      <w:pPr>
        <w:autoSpaceDE w:val="0"/>
        <w:autoSpaceDN w:val="0"/>
        <w:adjustRightInd w:val="0"/>
        <w:spacing w:before="120" w:after="0" w:line="240" w:lineRule="auto"/>
        <w:jc w:val="both"/>
        <w:rPr>
          <w:rFonts w:cstheme="minorHAnsi"/>
        </w:rPr>
      </w:pPr>
      <w:r>
        <w:rPr>
          <w:rFonts w:cstheme="minorHAnsi"/>
        </w:rPr>
        <w:t xml:space="preserve">Numerosos países occidentales han establecido como política pública </w:t>
      </w:r>
      <w:r w:rsidR="00FF0F31">
        <w:rPr>
          <w:rFonts w:cstheme="minorHAnsi"/>
        </w:rPr>
        <w:t xml:space="preserve">que </w:t>
      </w:r>
      <w:r>
        <w:rPr>
          <w:rFonts w:cstheme="minorHAnsi"/>
        </w:rPr>
        <w:t xml:space="preserve">el despliegue de los nuevos sistemas de información </w:t>
      </w:r>
      <w:r w:rsidR="00FF0F31">
        <w:rPr>
          <w:rFonts w:cstheme="minorHAnsi"/>
        </w:rPr>
        <w:t xml:space="preserve">sea </w:t>
      </w:r>
      <w:r>
        <w:rPr>
          <w:rFonts w:cstheme="minorHAnsi"/>
        </w:rPr>
        <w:t>en la nube de forma prioritaria y</w:t>
      </w:r>
      <w:r w:rsidR="00105D43">
        <w:rPr>
          <w:rFonts w:cstheme="minorHAnsi"/>
        </w:rPr>
        <w:t>,</w:t>
      </w:r>
      <w:r>
        <w:rPr>
          <w:rFonts w:cstheme="minorHAnsi"/>
        </w:rPr>
        <w:t xml:space="preserve"> solo si esta alternativa no fuera viable o económica</w:t>
      </w:r>
      <w:r w:rsidR="00105D43">
        <w:rPr>
          <w:rFonts w:cstheme="minorHAnsi"/>
        </w:rPr>
        <w:t>,</w:t>
      </w:r>
      <w:r>
        <w:rPr>
          <w:rFonts w:cstheme="minorHAnsi"/>
        </w:rPr>
        <w:t xml:space="preserve"> </w:t>
      </w:r>
      <w:r w:rsidR="00585896">
        <w:rPr>
          <w:rFonts w:cstheme="minorHAnsi"/>
        </w:rPr>
        <w:t xml:space="preserve">se efectuará </w:t>
      </w:r>
      <w:r>
        <w:rPr>
          <w:rFonts w:cstheme="minorHAnsi"/>
        </w:rPr>
        <w:t>mediante medios propios.</w:t>
      </w:r>
    </w:p>
    <w:p w14:paraId="765410E7" w14:textId="7D9A507A" w:rsidR="00585896" w:rsidRPr="00844BE5" w:rsidRDefault="00585896" w:rsidP="00585896">
      <w:pPr>
        <w:autoSpaceDE w:val="0"/>
        <w:autoSpaceDN w:val="0"/>
        <w:adjustRightInd w:val="0"/>
        <w:spacing w:before="120" w:after="0" w:line="240" w:lineRule="auto"/>
        <w:jc w:val="both"/>
        <w:rPr>
          <w:rFonts w:cstheme="minorHAnsi"/>
        </w:rPr>
      </w:pPr>
      <w:r w:rsidRPr="00844BE5">
        <w:rPr>
          <w:rFonts w:cstheme="minorHAnsi"/>
        </w:rPr>
        <w:t xml:space="preserve">Desde la perspectiva de un OCEX, se pueden adoptar </w:t>
      </w:r>
      <w:r w:rsidR="002B1C11" w:rsidRPr="00BE219D">
        <w:rPr>
          <w:rFonts w:cstheme="minorHAnsi"/>
          <w:b/>
        </w:rPr>
        <w:t>dos</w:t>
      </w:r>
      <w:r w:rsidRPr="00BE219D">
        <w:rPr>
          <w:rFonts w:cstheme="minorHAnsi"/>
          <w:b/>
        </w:rPr>
        <w:t xml:space="preserve"> enfoques principales para revisar la seguridad de la información</w:t>
      </w:r>
      <w:r w:rsidR="003B1DF6" w:rsidRPr="00BE219D">
        <w:rPr>
          <w:rFonts w:cstheme="minorHAnsi"/>
          <w:b/>
        </w:rPr>
        <w:t xml:space="preserve"> y los controles internos</w:t>
      </w:r>
      <w:r w:rsidRPr="00BE219D">
        <w:rPr>
          <w:rFonts w:cstheme="minorHAnsi"/>
          <w:b/>
        </w:rPr>
        <w:t xml:space="preserve"> en un entorno cloud</w:t>
      </w:r>
      <w:r>
        <w:rPr>
          <w:rFonts w:cstheme="minorHAnsi"/>
        </w:rPr>
        <w:t>:</w:t>
      </w:r>
    </w:p>
    <w:p w14:paraId="45EF34B9" w14:textId="0E861276" w:rsidR="00034217" w:rsidRPr="00693907" w:rsidRDefault="00585896" w:rsidP="005F413A">
      <w:pPr>
        <w:pStyle w:val="Prrafodelista"/>
        <w:numPr>
          <w:ilvl w:val="3"/>
          <w:numId w:val="1"/>
        </w:numPr>
        <w:autoSpaceDE w:val="0"/>
        <w:autoSpaceDN w:val="0"/>
        <w:adjustRightInd w:val="0"/>
        <w:spacing w:before="120" w:after="0" w:line="240" w:lineRule="auto"/>
        <w:ind w:left="284" w:hanging="283"/>
        <w:contextualSpacing w:val="0"/>
        <w:jc w:val="both"/>
        <w:rPr>
          <w:rFonts w:cstheme="minorHAnsi"/>
          <w:lang w:val="es"/>
        </w:rPr>
      </w:pPr>
      <w:r w:rsidRPr="00693907">
        <w:rPr>
          <w:rFonts w:cstheme="minorHAnsi"/>
        </w:rPr>
        <w:t xml:space="preserve">Realizar una </w:t>
      </w:r>
      <w:r w:rsidRPr="00693907">
        <w:rPr>
          <w:rFonts w:cstheme="minorHAnsi"/>
          <w:b/>
        </w:rPr>
        <w:t>auditoría específica</w:t>
      </w:r>
      <w:r w:rsidRPr="00693907">
        <w:rPr>
          <w:rFonts w:cstheme="minorHAnsi"/>
        </w:rPr>
        <w:t xml:space="preserve"> de uno o varios servicios cloud utilizados por un </w:t>
      </w:r>
      <w:r w:rsidRPr="00693907">
        <w:rPr>
          <w:rFonts w:cstheme="minorHAnsi"/>
          <w:lang w:val="es"/>
        </w:rPr>
        <w:t>determinado ente.</w:t>
      </w:r>
      <w:r w:rsidR="00693907" w:rsidRPr="00693907">
        <w:rPr>
          <w:rFonts w:cstheme="minorHAnsi"/>
          <w:lang w:val="es"/>
        </w:rPr>
        <w:t xml:space="preserve"> </w:t>
      </w:r>
      <w:r w:rsidR="00BE219D" w:rsidRPr="00693907">
        <w:rPr>
          <w:rFonts w:cstheme="minorHAnsi"/>
          <w:lang w:val="es"/>
        </w:rPr>
        <w:t>Este tipo de auditorías profundizar</w:t>
      </w:r>
      <w:r w:rsidR="00034217" w:rsidRPr="00693907">
        <w:rPr>
          <w:rFonts w:cstheme="minorHAnsi"/>
          <w:lang w:val="es"/>
        </w:rPr>
        <w:t>á</w:t>
      </w:r>
      <w:r w:rsidR="00BE219D" w:rsidRPr="00693907">
        <w:rPr>
          <w:rFonts w:cstheme="minorHAnsi"/>
          <w:lang w:val="es"/>
        </w:rPr>
        <w:t xml:space="preserve"> en</w:t>
      </w:r>
      <w:r w:rsidR="00034217" w:rsidRPr="00693907">
        <w:rPr>
          <w:rFonts w:cstheme="minorHAnsi"/>
          <w:lang w:val="es"/>
        </w:rPr>
        <w:t xml:space="preserve"> la revisión de:</w:t>
      </w:r>
    </w:p>
    <w:p w14:paraId="4FB057B9" w14:textId="77777777" w:rsidR="00034217" w:rsidRDefault="00034217" w:rsidP="00693907">
      <w:pPr>
        <w:pStyle w:val="Prrafodelista"/>
        <w:numPr>
          <w:ilvl w:val="0"/>
          <w:numId w:val="27"/>
        </w:numPr>
        <w:autoSpaceDE w:val="0"/>
        <w:autoSpaceDN w:val="0"/>
        <w:adjustRightInd w:val="0"/>
        <w:spacing w:before="120" w:after="0" w:line="240" w:lineRule="auto"/>
        <w:contextualSpacing w:val="0"/>
        <w:jc w:val="both"/>
        <w:rPr>
          <w:rFonts w:cstheme="minorHAnsi"/>
          <w:lang w:val="es"/>
        </w:rPr>
      </w:pPr>
      <w:r>
        <w:rPr>
          <w:rFonts w:cstheme="minorHAnsi"/>
          <w:lang w:val="es"/>
        </w:rPr>
        <w:t>E</w:t>
      </w:r>
      <w:r w:rsidR="00BE219D">
        <w:rPr>
          <w:rFonts w:cstheme="minorHAnsi"/>
          <w:lang w:val="es"/>
        </w:rPr>
        <w:t xml:space="preserve">l marco de control aplicado </w:t>
      </w:r>
      <w:r>
        <w:rPr>
          <w:rFonts w:cstheme="minorHAnsi"/>
          <w:lang w:val="es"/>
        </w:rPr>
        <w:t>por el ente auditado sobre el proveedor de servicios cloud.</w:t>
      </w:r>
    </w:p>
    <w:p w14:paraId="56E54012" w14:textId="77777777" w:rsidR="00034217" w:rsidRDefault="00034217" w:rsidP="00693907">
      <w:pPr>
        <w:pStyle w:val="Prrafodelista"/>
        <w:numPr>
          <w:ilvl w:val="0"/>
          <w:numId w:val="27"/>
        </w:numPr>
        <w:autoSpaceDE w:val="0"/>
        <w:autoSpaceDN w:val="0"/>
        <w:adjustRightInd w:val="0"/>
        <w:spacing w:before="120" w:after="0" w:line="240" w:lineRule="auto"/>
        <w:contextualSpacing w:val="0"/>
        <w:jc w:val="both"/>
        <w:rPr>
          <w:rFonts w:cstheme="minorHAnsi"/>
          <w:lang w:val="es"/>
        </w:rPr>
      </w:pPr>
      <w:r>
        <w:rPr>
          <w:rFonts w:cstheme="minorHAnsi"/>
          <w:lang w:val="es"/>
        </w:rPr>
        <w:t>La evaluación del diseño, implementación y eficacia operativa de los controles que, en función de la categoría de servicio (IaaS/PaaS/SaaS), sean responsabilidad directa de la entidad auditada</w:t>
      </w:r>
      <w:r w:rsidR="00BE219D">
        <w:rPr>
          <w:rFonts w:cstheme="minorHAnsi"/>
          <w:lang w:val="es"/>
        </w:rPr>
        <w:t>.</w:t>
      </w:r>
      <w:r>
        <w:rPr>
          <w:rFonts w:cstheme="minorHAnsi"/>
          <w:lang w:val="es"/>
        </w:rPr>
        <w:t xml:space="preserve"> </w:t>
      </w:r>
    </w:p>
    <w:p w14:paraId="755A7BA8" w14:textId="760616AD" w:rsidR="00585896" w:rsidRPr="00BE502E" w:rsidRDefault="00585896" w:rsidP="00034217">
      <w:pPr>
        <w:autoSpaceDE w:val="0"/>
        <w:autoSpaceDN w:val="0"/>
        <w:adjustRightInd w:val="0"/>
        <w:spacing w:before="120" w:after="0" w:line="240" w:lineRule="auto"/>
        <w:ind w:left="284"/>
        <w:jc w:val="both"/>
        <w:rPr>
          <w:rFonts w:cstheme="minorHAnsi"/>
          <w:lang w:val="es"/>
        </w:rPr>
      </w:pPr>
      <w:r w:rsidRPr="00034217">
        <w:rPr>
          <w:rFonts w:cstheme="minorHAnsi"/>
          <w:lang w:val="es"/>
        </w:rPr>
        <w:t xml:space="preserve">Para realizar estas auditorías </w:t>
      </w:r>
      <w:r w:rsidR="00BE219D" w:rsidRPr="00034217">
        <w:rPr>
          <w:rFonts w:cstheme="minorHAnsi"/>
          <w:lang w:val="es"/>
        </w:rPr>
        <w:t>podr</w:t>
      </w:r>
      <w:r w:rsidR="00693907">
        <w:rPr>
          <w:rFonts w:cstheme="minorHAnsi"/>
          <w:lang w:val="es"/>
        </w:rPr>
        <w:t>án</w:t>
      </w:r>
      <w:r w:rsidRPr="00034217">
        <w:rPr>
          <w:rFonts w:cstheme="minorHAnsi"/>
          <w:lang w:val="es"/>
        </w:rPr>
        <w:t xml:space="preserve"> utilizarse alguna de las guías señaladas en la bibliografía</w:t>
      </w:r>
      <w:r w:rsidR="003B1DF6" w:rsidRPr="00034217">
        <w:rPr>
          <w:rStyle w:val="Refdenotaalpie"/>
          <w:rFonts w:cstheme="minorHAnsi"/>
        </w:rPr>
        <w:t xml:space="preserve"> </w:t>
      </w:r>
      <w:r w:rsidR="003B1DF6" w:rsidRPr="00844BE5">
        <w:rPr>
          <w:rStyle w:val="Refdenotaalpie"/>
          <w:rFonts w:cstheme="minorHAnsi"/>
        </w:rPr>
        <w:footnoteReference w:id="4"/>
      </w:r>
      <w:r w:rsidR="00BE502E">
        <w:rPr>
          <w:rStyle w:val="Refdenotaalpie"/>
          <w:rFonts w:cstheme="minorHAnsi"/>
          <w:vertAlign w:val="baseline"/>
        </w:rPr>
        <w:t>.</w:t>
      </w:r>
    </w:p>
    <w:p w14:paraId="67466E95" w14:textId="77777777" w:rsidR="00693907" w:rsidRDefault="002F295B" w:rsidP="00585896">
      <w:pPr>
        <w:pStyle w:val="Prrafodelista"/>
        <w:numPr>
          <w:ilvl w:val="3"/>
          <w:numId w:val="1"/>
        </w:numPr>
        <w:autoSpaceDE w:val="0"/>
        <w:autoSpaceDN w:val="0"/>
        <w:adjustRightInd w:val="0"/>
        <w:spacing w:before="120" w:after="0" w:line="240" w:lineRule="auto"/>
        <w:ind w:left="284" w:hanging="283"/>
        <w:contextualSpacing w:val="0"/>
        <w:jc w:val="both"/>
        <w:rPr>
          <w:rFonts w:cstheme="minorHAnsi"/>
          <w:lang w:val="es"/>
        </w:rPr>
      </w:pPr>
      <w:r>
        <w:rPr>
          <w:rFonts w:cstheme="minorHAnsi"/>
          <w:lang w:val="es"/>
        </w:rPr>
        <w:t xml:space="preserve">Incluir la </w:t>
      </w:r>
      <w:r w:rsidRPr="002423C1">
        <w:rPr>
          <w:rFonts w:cstheme="minorHAnsi"/>
          <w:b/>
          <w:lang w:val="es"/>
        </w:rPr>
        <w:t>revisión e</w:t>
      </w:r>
      <w:r w:rsidR="00585896" w:rsidRPr="002423C1">
        <w:rPr>
          <w:rFonts w:cstheme="minorHAnsi"/>
          <w:b/>
          <w:lang w:val="es"/>
        </w:rPr>
        <w:t>n el contexto de una auditoría financiera</w:t>
      </w:r>
      <w:r w:rsidR="00585896">
        <w:rPr>
          <w:rFonts w:cstheme="minorHAnsi"/>
          <w:b/>
          <w:lang w:val="es"/>
        </w:rPr>
        <w:t>.</w:t>
      </w:r>
      <w:r w:rsidR="00585896" w:rsidRPr="00844BE5">
        <w:rPr>
          <w:rFonts w:cstheme="minorHAnsi"/>
          <w:lang w:val="es"/>
        </w:rPr>
        <w:t xml:space="preserve"> </w:t>
      </w:r>
      <w:r w:rsidR="00693907">
        <w:rPr>
          <w:rFonts w:cstheme="minorHAnsi"/>
          <w:lang w:val="es"/>
        </w:rPr>
        <w:t>A nivel conceptual, dicha revisión será análoga al trabajo que se realiza cuando se auditan los sistemas de información en el marco de una auditoría financiera en una entidad que no utiliza servicios cloud. Así, se</w:t>
      </w:r>
      <w:r w:rsidR="00585896">
        <w:rPr>
          <w:rFonts w:cstheme="minorHAnsi"/>
          <w:lang w:val="es"/>
        </w:rPr>
        <w:t xml:space="preserve"> debe r</w:t>
      </w:r>
      <w:r w:rsidR="00585896" w:rsidRPr="00844BE5">
        <w:rPr>
          <w:rFonts w:cstheme="minorHAnsi"/>
          <w:lang w:val="es"/>
        </w:rPr>
        <w:t>evi</w:t>
      </w:r>
      <w:r w:rsidR="003B1DF6">
        <w:rPr>
          <w:rFonts w:cstheme="minorHAnsi"/>
          <w:lang w:val="es"/>
        </w:rPr>
        <w:t>sar</w:t>
      </w:r>
      <w:r w:rsidR="00585896" w:rsidRPr="00844BE5">
        <w:rPr>
          <w:rFonts w:cstheme="minorHAnsi"/>
          <w:lang w:val="es"/>
        </w:rPr>
        <w:t xml:space="preserve"> los Controles Generales de Tecnologías de la Información</w:t>
      </w:r>
      <w:r w:rsidR="003B1DF6">
        <w:rPr>
          <w:rFonts w:cstheme="minorHAnsi"/>
          <w:lang w:val="es"/>
        </w:rPr>
        <w:t xml:space="preserve"> </w:t>
      </w:r>
      <w:r w:rsidR="00D90431">
        <w:rPr>
          <w:rFonts w:cstheme="minorHAnsi"/>
          <w:lang w:val="es"/>
        </w:rPr>
        <w:t>aplicando</w:t>
      </w:r>
      <w:r w:rsidR="003B1DF6">
        <w:rPr>
          <w:rFonts w:cstheme="minorHAnsi"/>
          <w:lang w:val="es"/>
        </w:rPr>
        <w:t xml:space="preserve"> la GPF-OCEX 5330, </w:t>
      </w:r>
      <w:r w:rsidR="003B1DF6" w:rsidRPr="00543E12">
        <w:rPr>
          <w:rFonts w:cstheme="minorHAnsi"/>
          <w:i/>
          <w:lang w:val="es"/>
        </w:rPr>
        <w:t>Revisión de los CGTI en un entorno de administración electrónica</w:t>
      </w:r>
      <w:r w:rsidR="00585896" w:rsidRPr="00844BE5">
        <w:rPr>
          <w:rFonts w:cstheme="minorHAnsi"/>
          <w:lang w:val="es"/>
        </w:rPr>
        <w:t>, relacionados con las áreas significativas</w:t>
      </w:r>
      <w:r w:rsidR="00693907">
        <w:rPr>
          <w:rFonts w:cstheme="minorHAnsi"/>
          <w:lang w:val="es"/>
        </w:rPr>
        <w:t xml:space="preserve"> para la auditoría.</w:t>
      </w:r>
    </w:p>
    <w:p w14:paraId="2353BB8B" w14:textId="5B165A89" w:rsidR="00693907" w:rsidRDefault="00F17A93" w:rsidP="00693907">
      <w:pPr>
        <w:pStyle w:val="Prrafodelista"/>
        <w:autoSpaceDE w:val="0"/>
        <w:autoSpaceDN w:val="0"/>
        <w:adjustRightInd w:val="0"/>
        <w:spacing w:before="120" w:after="0" w:line="240" w:lineRule="auto"/>
        <w:ind w:left="284"/>
        <w:contextualSpacing w:val="0"/>
        <w:jc w:val="both"/>
        <w:rPr>
          <w:rFonts w:cstheme="minorHAnsi"/>
          <w:lang w:val="es"/>
        </w:rPr>
      </w:pPr>
      <w:r>
        <w:rPr>
          <w:rFonts w:cstheme="minorHAnsi"/>
          <w:lang w:val="es"/>
        </w:rPr>
        <w:t>Cuando</w:t>
      </w:r>
      <w:r w:rsidR="00693907">
        <w:rPr>
          <w:rFonts w:cstheme="minorHAnsi"/>
          <w:lang w:val="es"/>
        </w:rPr>
        <w:t xml:space="preserve"> el ente auditado haga uso de servicios cloud, </w:t>
      </w:r>
      <w:r>
        <w:rPr>
          <w:rFonts w:cstheme="minorHAnsi"/>
          <w:lang w:val="es"/>
        </w:rPr>
        <w:t xml:space="preserve">se </w:t>
      </w:r>
      <w:r w:rsidR="0009447B" w:rsidRPr="00F17A93">
        <w:rPr>
          <w:rFonts w:cstheme="minorHAnsi"/>
          <w:lang w:val="es"/>
        </w:rPr>
        <w:t>adaptará</w:t>
      </w:r>
      <w:r w:rsidR="00693907">
        <w:rPr>
          <w:rFonts w:cstheme="minorHAnsi"/>
          <w:lang w:val="es"/>
        </w:rPr>
        <w:t xml:space="preserve"> el trabajo anterior en dos aspectos principales:</w:t>
      </w:r>
    </w:p>
    <w:p w14:paraId="76F6584B" w14:textId="5B8582B4" w:rsidR="00C07B4A" w:rsidRDefault="00693907" w:rsidP="00C07B4A">
      <w:pPr>
        <w:pStyle w:val="Prrafodelista"/>
        <w:numPr>
          <w:ilvl w:val="0"/>
          <w:numId w:val="27"/>
        </w:numPr>
        <w:autoSpaceDE w:val="0"/>
        <w:autoSpaceDN w:val="0"/>
        <w:adjustRightInd w:val="0"/>
        <w:spacing w:before="120" w:after="0" w:line="240" w:lineRule="auto"/>
        <w:contextualSpacing w:val="0"/>
        <w:jc w:val="both"/>
        <w:rPr>
          <w:rFonts w:cstheme="minorHAnsi"/>
          <w:lang w:val="es"/>
        </w:rPr>
      </w:pPr>
      <w:r>
        <w:rPr>
          <w:rFonts w:cstheme="minorHAnsi"/>
          <w:lang w:val="es"/>
        </w:rPr>
        <w:t xml:space="preserve">El </w:t>
      </w:r>
      <w:r w:rsidR="00C07B4A">
        <w:rPr>
          <w:rFonts w:cstheme="minorHAnsi"/>
          <w:lang w:val="es"/>
        </w:rPr>
        <w:t xml:space="preserve">alcance </w:t>
      </w:r>
      <w:r w:rsidR="005A1A76">
        <w:rPr>
          <w:rFonts w:cstheme="minorHAnsi"/>
          <w:lang w:val="es"/>
        </w:rPr>
        <w:t>de la revisión de los</w:t>
      </w:r>
      <w:r>
        <w:rPr>
          <w:rFonts w:cstheme="minorHAnsi"/>
          <w:lang w:val="es"/>
        </w:rPr>
        <w:t xml:space="preserve"> CGTI </w:t>
      </w:r>
      <w:r w:rsidR="00C07B4A">
        <w:rPr>
          <w:rFonts w:cstheme="minorHAnsi"/>
          <w:lang w:val="es"/>
        </w:rPr>
        <w:t xml:space="preserve">incluirá los controles que, en función de la categoría de servicio (IaaS/PaaS/SaaS), sean responsabilidad directa de la entidad auditada. </w:t>
      </w:r>
      <w:r w:rsidR="005A1A76">
        <w:rPr>
          <w:rFonts w:cstheme="minorHAnsi"/>
          <w:lang w:val="es"/>
        </w:rPr>
        <w:t>Para más detalle ver el Anexo 1.</w:t>
      </w:r>
    </w:p>
    <w:p w14:paraId="4D58DA58" w14:textId="57BF46C4" w:rsidR="005A1A76" w:rsidRDefault="005A1A76" w:rsidP="005A1A76">
      <w:pPr>
        <w:pStyle w:val="Prrafodelista"/>
        <w:numPr>
          <w:ilvl w:val="0"/>
          <w:numId w:val="27"/>
        </w:numPr>
        <w:autoSpaceDE w:val="0"/>
        <w:autoSpaceDN w:val="0"/>
        <w:adjustRightInd w:val="0"/>
        <w:spacing w:before="120" w:after="0" w:line="240" w:lineRule="auto"/>
        <w:contextualSpacing w:val="0"/>
        <w:jc w:val="both"/>
        <w:rPr>
          <w:rFonts w:cstheme="minorHAnsi"/>
          <w:lang w:val="es"/>
        </w:rPr>
      </w:pPr>
      <w:r>
        <w:rPr>
          <w:rFonts w:cstheme="minorHAnsi"/>
          <w:lang w:val="es"/>
        </w:rPr>
        <w:t>Se deberá presta</w:t>
      </w:r>
      <w:r w:rsidR="00DF5F6F">
        <w:rPr>
          <w:rFonts w:cstheme="minorHAnsi"/>
          <w:lang w:val="es"/>
        </w:rPr>
        <w:t>r</w:t>
      </w:r>
      <w:r>
        <w:rPr>
          <w:rFonts w:cstheme="minorHAnsi"/>
          <w:lang w:val="es"/>
        </w:rPr>
        <w:t xml:space="preserve"> especial </w:t>
      </w:r>
      <w:r w:rsidR="00FE2DC3">
        <w:rPr>
          <w:rFonts w:cstheme="minorHAnsi"/>
          <w:lang w:val="es"/>
        </w:rPr>
        <w:t xml:space="preserve">atención </w:t>
      </w:r>
      <w:r w:rsidR="00DF5F6F">
        <w:rPr>
          <w:rFonts w:cstheme="minorHAnsi"/>
          <w:lang w:val="es"/>
        </w:rPr>
        <w:t>a la revisión del contrato del servicio cloud.</w:t>
      </w:r>
      <w:r>
        <w:rPr>
          <w:rFonts w:cstheme="minorHAnsi"/>
          <w:lang w:val="es"/>
        </w:rPr>
        <w:t xml:space="preserve"> En el Anexo 2 se incluye un programa de trabajo para facilitar esta revisión.</w:t>
      </w:r>
    </w:p>
    <w:p w14:paraId="5F28F15A" w14:textId="687302BC" w:rsidR="00585896" w:rsidRDefault="005A1A76" w:rsidP="00585896">
      <w:pPr>
        <w:pStyle w:val="Prrafodelista"/>
        <w:autoSpaceDE w:val="0"/>
        <w:autoSpaceDN w:val="0"/>
        <w:adjustRightInd w:val="0"/>
        <w:spacing w:before="120" w:after="0" w:line="240" w:lineRule="auto"/>
        <w:ind w:left="284"/>
        <w:contextualSpacing w:val="0"/>
        <w:jc w:val="both"/>
        <w:rPr>
          <w:rFonts w:cstheme="minorHAnsi"/>
          <w:lang w:val="es"/>
        </w:rPr>
      </w:pPr>
      <w:r>
        <w:rPr>
          <w:rFonts w:cstheme="minorHAnsi"/>
          <w:lang w:val="es"/>
        </w:rPr>
        <w:t>La revisión del entorno de TI en el contexto de la auditoría financiera es el enfoque principal de esta guía.</w:t>
      </w:r>
    </w:p>
    <w:p w14:paraId="42EACF07" w14:textId="4DBA4443" w:rsidR="00C07B4A" w:rsidRDefault="00C07B4A" w:rsidP="00C07B4A">
      <w:pPr>
        <w:autoSpaceDE w:val="0"/>
        <w:autoSpaceDN w:val="0"/>
        <w:adjustRightInd w:val="0"/>
        <w:spacing w:before="120" w:after="0" w:line="240" w:lineRule="auto"/>
        <w:jc w:val="both"/>
        <w:rPr>
          <w:rFonts w:cstheme="minorHAnsi"/>
          <w:lang w:val="es"/>
        </w:rPr>
      </w:pPr>
      <w:r>
        <w:rPr>
          <w:rFonts w:cstheme="minorHAnsi"/>
          <w:lang w:val="es"/>
        </w:rPr>
        <w:t>A modo de aclaración cabe destacar que</w:t>
      </w:r>
      <w:r w:rsidR="002423C1">
        <w:rPr>
          <w:rFonts w:cstheme="minorHAnsi"/>
          <w:lang w:val="es"/>
        </w:rPr>
        <w:t xml:space="preserve"> </w:t>
      </w:r>
      <w:r w:rsidRPr="002423C1">
        <w:rPr>
          <w:rFonts w:cstheme="minorHAnsi"/>
          <w:b/>
          <w:lang w:val="es"/>
        </w:rPr>
        <w:t xml:space="preserve">los dos enfoques anteriores </w:t>
      </w:r>
      <w:r w:rsidR="002423C1" w:rsidRPr="002423C1">
        <w:rPr>
          <w:rFonts w:cstheme="minorHAnsi"/>
          <w:b/>
          <w:lang w:val="es"/>
        </w:rPr>
        <w:t xml:space="preserve">excluyen </w:t>
      </w:r>
      <w:r w:rsidRPr="002423C1">
        <w:rPr>
          <w:rFonts w:cstheme="minorHAnsi"/>
          <w:b/>
          <w:lang w:val="es"/>
        </w:rPr>
        <w:t>la revisión del control interno y de los controles aplicados por el proveedor del servicio cloud</w:t>
      </w:r>
      <w:r>
        <w:rPr>
          <w:rFonts w:cstheme="minorHAnsi"/>
          <w:lang w:val="es"/>
        </w:rPr>
        <w:t xml:space="preserve">, ya que éste no está sujeto a la fiscalización por parte de un OCEX. </w:t>
      </w:r>
    </w:p>
    <w:p w14:paraId="7A23C913" w14:textId="77777777" w:rsidR="00837196" w:rsidRDefault="00837196">
      <w:pPr>
        <w:rPr>
          <w:rFonts w:cstheme="minorHAnsi"/>
          <w:b/>
        </w:rPr>
      </w:pPr>
      <w:r>
        <w:rPr>
          <w:rFonts w:cstheme="minorHAnsi"/>
          <w:b/>
        </w:rPr>
        <w:br w:type="page"/>
      </w:r>
    </w:p>
    <w:p w14:paraId="5A5108F3" w14:textId="3E6D174D" w:rsidR="00741C80" w:rsidRPr="00844BE5" w:rsidRDefault="00741C80" w:rsidP="00741C80">
      <w:pPr>
        <w:pStyle w:val="Prrafodelista"/>
        <w:numPr>
          <w:ilvl w:val="0"/>
          <w:numId w:val="4"/>
        </w:numPr>
        <w:spacing w:before="120" w:after="0" w:line="240" w:lineRule="auto"/>
        <w:ind w:left="567" w:hanging="567"/>
        <w:contextualSpacing w:val="0"/>
        <w:jc w:val="both"/>
        <w:rPr>
          <w:rFonts w:cstheme="minorHAnsi"/>
          <w:b/>
        </w:rPr>
      </w:pPr>
      <w:r>
        <w:rPr>
          <w:rFonts w:cstheme="minorHAnsi"/>
          <w:b/>
        </w:rPr>
        <w:lastRenderedPageBreak/>
        <w:t>Objetivos de la guía</w:t>
      </w:r>
    </w:p>
    <w:p w14:paraId="633949AE" w14:textId="1F11F7C6" w:rsidR="005C74AE" w:rsidRDefault="005C74AE" w:rsidP="00844BE5">
      <w:pPr>
        <w:spacing w:before="120" w:after="0" w:line="240" w:lineRule="auto"/>
        <w:jc w:val="both"/>
        <w:rPr>
          <w:rFonts w:cstheme="minorHAnsi"/>
        </w:rPr>
      </w:pPr>
      <w:r w:rsidRPr="00BD41BA">
        <w:rPr>
          <w:rFonts w:cstheme="minorHAnsi"/>
        </w:rPr>
        <w:t xml:space="preserve">Esta </w:t>
      </w:r>
      <w:r w:rsidRPr="000827C8">
        <w:rPr>
          <w:rFonts w:cstheme="minorHAnsi"/>
          <w:i/>
        </w:rPr>
        <w:t>Guía básica de auditoría en entornos cloud</w:t>
      </w:r>
      <w:r w:rsidRPr="00BD41BA">
        <w:rPr>
          <w:rFonts w:cstheme="minorHAnsi"/>
        </w:rPr>
        <w:t xml:space="preserve"> </w:t>
      </w:r>
      <w:r w:rsidR="000827C8" w:rsidRPr="000827C8">
        <w:rPr>
          <w:rFonts w:cstheme="minorHAnsi"/>
        </w:rPr>
        <w:t xml:space="preserve">recoge los aspectos más relevantes que deberán contemplarse en la fiscalización de entidades cuyas aplicaciones de gestión significativas a efectos de la auditoría estén </w:t>
      </w:r>
      <w:r w:rsidR="00BE502E">
        <w:rPr>
          <w:rFonts w:cstheme="minorHAnsi"/>
        </w:rPr>
        <w:t>alojadas</w:t>
      </w:r>
      <w:r w:rsidR="000827C8" w:rsidRPr="000827C8">
        <w:rPr>
          <w:rFonts w:cstheme="minorHAnsi"/>
        </w:rPr>
        <w:t xml:space="preserve"> en la nube </w:t>
      </w:r>
      <w:r>
        <w:rPr>
          <w:rFonts w:cstheme="minorHAnsi"/>
        </w:rPr>
        <w:t>mediante un contrato con un proveedor externo o CSP</w:t>
      </w:r>
      <w:r w:rsidR="000827C8" w:rsidRPr="000827C8">
        <w:rPr>
          <w:rFonts w:cstheme="minorHAnsi"/>
        </w:rPr>
        <w:t>.</w:t>
      </w:r>
      <w:r w:rsidR="003B1DF6">
        <w:rPr>
          <w:rFonts w:cstheme="minorHAnsi"/>
        </w:rPr>
        <w:t xml:space="preserve"> </w:t>
      </w:r>
    </w:p>
    <w:p w14:paraId="39505753" w14:textId="03D39450" w:rsidR="00EC3808" w:rsidRPr="00844BE5" w:rsidRDefault="00BE502E" w:rsidP="00844BE5">
      <w:pPr>
        <w:spacing w:before="120" w:after="0" w:line="240" w:lineRule="auto"/>
        <w:jc w:val="both"/>
        <w:rPr>
          <w:rFonts w:cstheme="minorHAnsi"/>
        </w:rPr>
      </w:pPr>
      <w:r>
        <w:rPr>
          <w:rFonts w:cstheme="minorHAnsi"/>
        </w:rPr>
        <w:t>El</w:t>
      </w:r>
      <w:r w:rsidR="00EC3808" w:rsidRPr="00844BE5">
        <w:rPr>
          <w:rFonts w:cstheme="minorHAnsi"/>
        </w:rPr>
        <w:t xml:space="preserve"> objetivo de esta guía </w:t>
      </w:r>
      <w:r w:rsidR="009E3873" w:rsidRPr="00844BE5">
        <w:rPr>
          <w:rFonts w:cstheme="minorHAnsi"/>
        </w:rPr>
        <w:t xml:space="preserve">es </w:t>
      </w:r>
      <w:r w:rsidR="00EC3808" w:rsidRPr="00844BE5">
        <w:rPr>
          <w:rFonts w:cstheme="minorHAnsi"/>
        </w:rPr>
        <w:t>ayudar al auditor</w:t>
      </w:r>
      <w:r w:rsidR="00B140FA">
        <w:rPr>
          <w:rFonts w:cstheme="minorHAnsi"/>
        </w:rPr>
        <w:t xml:space="preserve"> </w:t>
      </w:r>
      <w:r w:rsidR="00EC3808" w:rsidRPr="00844BE5">
        <w:rPr>
          <w:rFonts w:cstheme="minorHAnsi"/>
        </w:rPr>
        <w:t>a:</w:t>
      </w:r>
    </w:p>
    <w:p w14:paraId="73E55EA4" w14:textId="325F34E6" w:rsidR="00EC3808" w:rsidRPr="00844BE5" w:rsidRDefault="00EC3808" w:rsidP="00741C80">
      <w:pPr>
        <w:pStyle w:val="Prrafodelista"/>
        <w:numPr>
          <w:ilvl w:val="0"/>
          <w:numId w:val="6"/>
        </w:numPr>
        <w:autoSpaceDE w:val="0"/>
        <w:autoSpaceDN w:val="0"/>
        <w:adjustRightInd w:val="0"/>
        <w:spacing w:before="120" w:after="0" w:line="240" w:lineRule="auto"/>
        <w:ind w:left="284" w:hanging="283"/>
        <w:contextualSpacing w:val="0"/>
        <w:jc w:val="both"/>
        <w:rPr>
          <w:rFonts w:cstheme="minorHAnsi"/>
        </w:rPr>
      </w:pPr>
      <w:r w:rsidRPr="00844BE5">
        <w:rPr>
          <w:rFonts w:cstheme="minorHAnsi"/>
        </w:rPr>
        <w:t xml:space="preserve">Comprender los conceptos fundamentales relacionados </w:t>
      </w:r>
      <w:r w:rsidR="00B140FA">
        <w:rPr>
          <w:rFonts w:cstheme="minorHAnsi"/>
        </w:rPr>
        <w:t>con el procesamiento en la nube para facilitar el conocimiento y comprensión del sistema de información y de control interno de la entidad auditada.</w:t>
      </w:r>
    </w:p>
    <w:p w14:paraId="5547CA70" w14:textId="70DA87A5" w:rsidR="00EC3808" w:rsidRPr="00844BE5" w:rsidRDefault="00EC3808" w:rsidP="00741C80">
      <w:pPr>
        <w:pStyle w:val="Prrafodelista"/>
        <w:numPr>
          <w:ilvl w:val="0"/>
          <w:numId w:val="6"/>
        </w:numPr>
        <w:autoSpaceDE w:val="0"/>
        <w:autoSpaceDN w:val="0"/>
        <w:adjustRightInd w:val="0"/>
        <w:spacing w:before="120" w:after="0" w:line="240" w:lineRule="auto"/>
        <w:ind w:left="284" w:hanging="283"/>
        <w:contextualSpacing w:val="0"/>
        <w:jc w:val="both"/>
        <w:rPr>
          <w:rFonts w:cstheme="minorHAnsi"/>
        </w:rPr>
      </w:pPr>
      <w:r w:rsidRPr="00844BE5">
        <w:rPr>
          <w:rFonts w:cstheme="minorHAnsi"/>
        </w:rPr>
        <w:t>Identificar los principales riesgos específicos existentes en el procesamiento en la nube</w:t>
      </w:r>
      <w:r w:rsidR="001E339F" w:rsidRPr="00844BE5">
        <w:rPr>
          <w:rFonts w:cstheme="minorHAnsi"/>
        </w:rPr>
        <w:t xml:space="preserve"> desde el punto de vista del auditor</w:t>
      </w:r>
      <w:r w:rsidR="00B37B8C" w:rsidRPr="00844BE5">
        <w:rPr>
          <w:rFonts w:cstheme="minorHAnsi"/>
        </w:rPr>
        <w:t xml:space="preserve"> y </w:t>
      </w:r>
      <w:r w:rsidR="00741C80">
        <w:rPr>
          <w:rFonts w:cstheme="minorHAnsi"/>
        </w:rPr>
        <w:t xml:space="preserve">valorar </w:t>
      </w:r>
      <w:r w:rsidR="00B37B8C" w:rsidRPr="00844BE5">
        <w:rPr>
          <w:rFonts w:cstheme="minorHAnsi"/>
        </w:rPr>
        <w:t>su impacto en una auditoría.</w:t>
      </w:r>
    </w:p>
    <w:p w14:paraId="2623D02A" w14:textId="0623DAD5" w:rsidR="00EC3808" w:rsidRPr="00844BE5" w:rsidRDefault="00EC3808" w:rsidP="00741C80">
      <w:pPr>
        <w:pStyle w:val="Prrafodelista"/>
        <w:numPr>
          <w:ilvl w:val="0"/>
          <w:numId w:val="6"/>
        </w:numPr>
        <w:autoSpaceDE w:val="0"/>
        <w:autoSpaceDN w:val="0"/>
        <w:adjustRightInd w:val="0"/>
        <w:spacing w:before="120" w:after="0" w:line="240" w:lineRule="auto"/>
        <w:ind w:left="284" w:hanging="283"/>
        <w:contextualSpacing w:val="0"/>
        <w:jc w:val="both"/>
        <w:rPr>
          <w:rFonts w:cstheme="minorHAnsi"/>
        </w:rPr>
      </w:pPr>
      <w:r w:rsidRPr="00844BE5">
        <w:rPr>
          <w:rFonts w:cstheme="minorHAnsi"/>
        </w:rPr>
        <w:t>Identificar posibles controles internos</w:t>
      </w:r>
      <w:r w:rsidR="008853A7" w:rsidRPr="00844BE5">
        <w:rPr>
          <w:rFonts w:cstheme="minorHAnsi"/>
        </w:rPr>
        <w:t xml:space="preserve"> que aborden los riesgos identificados</w:t>
      </w:r>
      <w:r w:rsidRPr="00844BE5">
        <w:rPr>
          <w:rFonts w:cstheme="minorHAnsi"/>
        </w:rPr>
        <w:t>.</w:t>
      </w:r>
    </w:p>
    <w:p w14:paraId="2AED8928" w14:textId="690B2815" w:rsidR="00EC3808" w:rsidRDefault="00EC3808" w:rsidP="00741C80">
      <w:pPr>
        <w:pStyle w:val="Prrafodelista"/>
        <w:numPr>
          <w:ilvl w:val="0"/>
          <w:numId w:val="6"/>
        </w:numPr>
        <w:autoSpaceDE w:val="0"/>
        <w:autoSpaceDN w:val="0"/>
        <w:adjustRightInd w:val="0"/>
        <w:spacing w:before="120" w:after="0" w:line="240" w:lineRule="auto"/>
        <w:ind w:left="284" w:hanging="283"/>
        <w:contextualSpacing w:val="0"/>
        <w:jc w:val="both"/>
        <w:rPr>
          <w:rFonts w:cstheme="minorHAnsi"/>
        </w:rPr>
      </w:pPr>
      <w:r w:rsidRPr="00844BE5">
        <w:rPr>
          <w:rFonts w:cstheme="minorHAnsi"/>
        </w:rPr>
        <w:t>Dise</w:t>
      </w:r>
      <w:r w:rsidR="00B37B8C" w:rsidRPr="00844BE5">
        <w:rPr>
          <w:rFonts w:cstheme="minorHAnsi"/>
        </w:rPr>
        <w:t xml:space="preserve">ñar procedimientos de auditoría para revisar la eficacia de los controles </w:t>
      </w:r>
      <w:r w:rsidR="00FF0F31">
        <w:rPr>
          <w:rFonts w:cstheme="minorHAnsi"/>
        </w:rPr>
        <w:t xml:space="preserve">relevantes </w:t>
      </w:r>
      <w:r w:rsidR="00B37B8C" w:rsidRPr="00844BE5">
        <w:rPr>
          <w:rFonts w:cstheme="minorHAnsi"/>
        </w:rPr>
        <w:t>identificados.</w:t>
      </w:r>
    </w:p>
    <w:p w14:paraId="4C79AD4C" w14:textId="1F5375ED" w:rsidR="00B140FA" w:rsidRPr="00844BE5" w:rsidRDefault="00B140FA" w:rsidP="00741C80">
      <w:pPr>
        <w:pStyle w:val="Prrafodelista"/>
        <w:numPr>
          <w:ilvl w:val="0"/>
          <w:numId w:val="6"/>
        </w:numPr>
        <w:autoSpaceDE w:val="0"/>
        <w:autoSpaceDN w:val="0"/>
        <w:adjustRightInd w:val="0"/>
        <w:spacing w:before="120" w:after="0" w:line="240" w:lineRule="auto"/>
        <w:ind w:left="284" w:hanging="283"/>
        <w:contextualSpacing w:val="0"/>
        <w:jc w:val="both"/>
        <w:rPr>
          <w:rFonts w:cstheme="minorHAnsi"/>
        </w:rPr>
      </w:pPr>
      <w:r>
        <w:rPr>
          <w:rFonts w:cstheme="minorHAnsi"/>
        </w:rPr>
        <w:t>Considerar otros aspectos de la auditoría afectados cuando la entidad utiliza la nube en procesos s</w:t>
      </w:r>
      <w:r w:rsidR="00741C80">
        <w:rPr>
          <w:rFonts w:cstheme="minorHAnsi"/>
        </w:rPr>
        <w:t>ignificativos</w:t>
      </w:r>
      <w:r w:rsidR="00BE502E">
        <w:rPr>
          <w:rFonts w:cstheme="minorHAnsi"/>
        </w:rPr>
        <w:t>:</w:t>
      </w:r>
      <w:r w:rsidR="00741C80">
        <w:rPr>
          <w:rFonts w:cstheme="minorHAnsi"/>
        </w:rPr>
        <w:t xml:space="preserve"> evidencia, necesidad de expertos</w:t>
      </w:r>
      <w:r w:rsidR="008215FD">
        <w:rPr>
          <w:rFonts w:cstheme="minorHAnsi"/>
        </w:rPr>
        <w:t>, utilización de ADA</w:t>
      </w:r>
      <w:r w:rsidR="00BD01B5">
        <w:rPr>
          <w:rFonts w:cstheme="minorHAnsi"/>
        </w:rPr>
        <w:t xml:space="preserve"> (análisis de datos de auditoría</w:t>
      </w:r>
      <w:r w:rsidR="00741C80">
        <w:rPr>
          <w:rFonts w:cstheme="minorHAnsi"/>
        </w:rPr>
        <w:t>)</w:t>
      </w:r>
      <w:r w:rsidR="004E4D7F">
        <w:rPr>
          <w:rStyle w:val="Refdenotaalpie"/>
          <w:rFonts w:cstheme="minorHAnsi"/>
        </w:rPr>
        <w:footnoteReference w:id="5"/>
      </w:r>
      <w:r w:rsidR="00BD01B5">
        <w:rPr>
          <w:rFonts w:cstheme="minorHAnsi"/>
        </w:rPr>
        <w:t>,</w:t>
      </w:r>
      <w:r w:rsidR="00BE502E">
        <w:rPr>
          <w:rFonts w:cstheme="minorHAnsi"/>
        </w:rPr>
        <w:t xml:space="preserve"> etc.</w:t>
      </w:r>
    </w:p>
    <w:p w14:paraId="5533287E" w14:textId="184FBF87" w:rsidR="001709E0" w:rsidRPr="00844BE5" w:rsidRDefault="008215FD" w:rsidP="008215FD">
      <w:pPr>
        <w:pStyle w:val="Prrafodelista"/>
        <w:widowControl w:val="0"/>
        <w:numPr>
          <w:ilvl w:val="0"/>
          <w:numId w:val="6"/>
        </w:numPr>
        <w:autoSpaceDE w:val="0"/>
        <w:autoSpaceDN w:val="0"/>
        <w:adjustRightInd w:val="0"/>
        <w:spacing w:before="120" w:after="0" w:line="240" w:lineRule="auto"/>
        <w:ind w:left="284" w:hanging="284"/>
        <w:contextualSpacing w:val="0"/>
        <w:jc w:val="both"/>
        <w:rPr>
          <w:rFonts w:cstheme="minorHAnsi"/>
        </w:rPr>
      </w:pPr>
      <w:r>
        <w:rPr>
          <w:rFonts w:cstheme="minorHAnsi"/>
        </w:rPr>
        <w:t>Revisar e</w:t>
      </w:r>
      <w:r w:rsidR="001709E0" w:rsidRPr="00844BE5">
        <w:rPr>
          <w:rFonts w:cstheme="minorHAnsi"/>
        </w:rPr>
        <w:t>l cumplimiento de los marcos legislativos aplicables, en especial el Esquema Nacional de Seguridad (ENS) o la normativa vigente en materia de protección de datos personales por parte de la entidad auditada y del CSP.</w:t>
      </w:r>
    </w:p>
    <w:p w14:paraId="26A53C0C" w14:textId="5ED342D2" w:rsidR="001709E0" w:rsidRDefault="008215FD" w:rsidP="00844BE5">
      <w:pPr>
        <w:autoSpaceDE w:val="0"/>
        <w:autoSpaceDN w:val="0"/>
        <w:adjustRightInd w:val="0"/>
        <w:spacing w:before="120" w:after="0" w:line="240" w:lineRule="auto"/>
        <w:jc w:val="both"/>
        <w:rPr>
          <w:rFonts w:cstheme="minorHAnsi"/>
        </w:rPr>
      </w:pPr>
      <w:r w:rsidRPr="00844BE5">
        <w:rPr>
          <w:rFonts w:cstheme="minorHAnsi"/>
        </w:rPr>
        <w:t>La presente guía</w:t>
      </w:r>
      <w:r>
        <w:rPr>
          <w:rFonts w:cstheme="minorHAnsi"/>
        </w:rPr>
        <w:t xml:space="preserve"> </w:t>
      </w:r>
      <w:r w:rsidR="001709E0" w:rsidRPr="00844BE5">
        <w:rPr>
          <w:rFonts w:cstheme="minorHAnsi"/>
        </w:rPr>
        <w:t xml:space="preserve">se fundamenta en códigos de buenas prácticas o estándares reconocidos </w:t>
      </w:r>
      <w:r w:rsidR="007D6CDF">
        <w:rPr>
          <w:rFonts w:cstheme="minorHAnsi"/>
        </w:rPr>
        <w:t xml:space="preserve">nacional e </w:t>
      </w:r>
      <w:r w:rsidR="001709E0" w:rsidRPr="00844BE5">
        <w:rPr>
          <w:rFonts w:cstheme="minorHAnsi"/>
        </w:rPr>
        <w:t xml:space="preserve">internacionalmente. </w:t>
      </w:r>
    </w:p>
    <w:p w14:paraId="69B754D1" w14:textId="7F7E94D0" w:rsidR="007D6CDF" w:rsidRPr="006F0AB3" w:rsidRDefault="007D6CDF" w:rsidP="00844BE5">
      <w:pPr>
        <w:autoSpaceDE w:val="0"/>
        <w:autoSpaceDN w:val="0"/>
        <w:adjustRightInd w:val="0"/>
        <w:spacing w:before="120" w:after="0" w:line="240" w:lineRule="auto"/>
        <w:jc w:val="both"/>
        <w:rPr>
          <w:rFonts w:cstheme="minorHAnsi"/>
        </w:rPr>
      </w:pPr>
      <w:r w:rsidRPr="006F0AB3">
        <w:rPr>
          <w:rFonts w:cstheme="minorHAnsi"/>
        </w:rPr>
        <w:t xml:space="preserve">No es el objetivo principal de esta guía considerar el efecto en las fiscalizaciones de la utilización de soluciones en la nube o soluciones de Administración Electrónica, puestas a disposición de las </w:t>
      </w:r>
      <w:bookmarkStart w:id="0" w:name="_Hlk11768802"/>
      <w:r w:rsidRPr="006F0AB3">
        <w:rPr>
          <w:rFonts w:cstheme="minorHAnsi"/>
        </w:rPr>
        <w:t>Administraciones Públicas</w:t>
      </w:r>
      <w:bookmarkEnd w:id="0"/>
      <w:r w:rsidRPr="006F0AB3">
        <w:rPr>
          <w:rFonts w:cstheme="minorHAnsi"/>
        </w:rPr>
        <w:t xml:space="preserve"> por otra Administración Pública, para dar respuesta a necesidades comunes. </w:t>
      </w:r>
      <w:r w:rsidR="0009447B" w:rsidRPr="006F0AB3">
        <w:rPr>
          <w:rFonts w:cstheme="minorHAnsi"/>
        </w:rPr>
        <w:t xml:space="preserve">Tampoco se consideran los entornos del tipo que más adelante denominamos “Nube privada </w:t>
      </w:r>
      <w:r w:rsidR="00FE2DC3">
        <w:rPr>
          <w:rFonts w:cstheme="minorHAnsi"/>
        </w:rPr>
        <w:t>interna</w:t>
      </w:r>
      <w:r w:rsidR="0009447B" w:rsidRPr="006F0AB3">
        <w:rPr>
          <w:rFonts w:cstheme="minorHAnsi"/>
        </w:rPr>
        <w:t xml:space="preserve">”. </w:t>
      </w:r>
      <w:r w:rsidRPr="006F0AB3">
        <w:rPr>
          <w:rFonts w:cstheme="minorHAnsi"/>
        </w:rPr>
        <w:t>Cuando sea pertinente se seguirán criterios similares a los expuestos en esta guía.</w:t>
      </w:r>
    </w:p>
    <w:p w14:paraId="53AE8B79" w14:textId="48229B8B" w:rsidR="00B572BA" w:rsidRPr="00844BE5" w:rsidRDefault="00BD41BA" w:rsidP="00844BE5">
      <w:pPr>
        <w:pStyle w:val="Prrafodelista"/>
        <w:numPr>
          <w:ilvl w:val="0"/>
          <w:numId w:val="4"/>
        </w:numPr>
        <w:spacing w:before="120" w:after="0" w:line="240" w:lineRule="auto"/>
        <w:ind w:left="567" w:hanging="567"/>
        <w:contextualSpacing w:val="0"/>
        <w:jc w:val="both"/>
        <w:rPr>
          <w:rFonts w:cstheme="minorHAnsi"/>
          <w:b/>
        </w:rPr>
      </w:pPr>
      <w:r>
        <w:rPr>
          <w:rFonts w:cstheme="minorHAnsi"/>
          <w:b/>
        </w:rPr>
        <w:t>Tipos y c</w:t>
      </w:r>
      <w:r w:rsidR="00B572BA" w:rsidRPr="00844BE5">
        <w:rPr>
          <w:rFonts w:cstheme="minorHAnsi"/>
          <w:b/>
        </w:rPr>
        <w:t>aracterísticas de los servicios en la nube</w:t>
      </w:r>
    </w:p>
    <w:p w14:paraId="0FC90941" w14:textId="00C7913C" w:rsidR="003F4C87" w:rsidRPr="00844BE5" w:rsidRDefault="004D5D53" w:rsidP="00302EB3">
      <w:pPr>
        <w:autoSpaceDE w:val="0"/>
        <w:autoSpaceDN w:val="0"/>
        <w:adjustRightInd w:val="0"/>
        <w:spacing w:before="120" w:after="0" w:line="240" w:lineRule="auto"/>
        <w:jc w:val="both"/>
        <w:rPr>
          <w:rFonts w:cstheme="minorHAnsi"/>
        </w:rPr>
      </w:pPr>
      <w:r>
        <w:rPr>
          <w:rFonts w:cstheme="minorHAnsi"/>
        </w:rPr>
        <w:t>Las</w:t>
      </w:r>
      <w:r w:rsidRPr="00844BE5">
        <w:rPr>
          <w:rFonts w:cstheme="minorHAnsi"/>
        </w:rPr>
        <w:t xml:space="preserve"> </w:t>
      </w:r>
      <w:r w:rsidR="00B572BA" w:rsidRPr="00844BE5">
        <w:rPr>
          <w:rFonts w:cstheme="minorHAnsi"/>
        </w:rPr>
        <w:t>diversas modalidades de servicios en la nube</w:t>
      </w:r>
      <w:r w:rsidR="003F4C87" w:rsidRPr="00844BE5">
        <w:rPr>
          <w:rFonts w:cstheme="minorHAnsi"/>
        </w:rPr>
        <w:t xml:space="preserve"> </w:t>
      </w:r>
      <w:r w:rsidR="00741C80">
        <w:rPr>
          <w:rFonts w:cstheme="minorHAnsi"/>
        </w:rPr>
        <w:t xml:space="preserve">se </w:t>
      </w:r>
      <w:r w:rsidR="008215FD">
        <w:rPr>
          <w:rFonts w:cstheme="minorHAnsi"/>
        </w:rPr>
        <w:t xml:space="preserve">pueden </w:t>
      </w:r>
      <w:r w:rsidR="00741C80">
        <w:rPr>
          <w:rFonts w:cstheme="minorHAnsi"/>
        </w:rPr>
        <w:t>clasifica</w:t>
      </w:r>
      <w:r w:rsidR="008215FD">
        <w:rPr>
          <w:rFonts w:cstheme="minorHAnsi"/>
        </w:rPr>
        <w:t>r</w:t>
      </w:r>
      <w:r w:rsidR="00741C80">
        <w:rPr>
          <w:rFonts w:cstheme="minorHAnsi"/>
        </w:rPr>
        <w:t xml:space="preserve"> atendiendo a dos aspectos</w:t>
      </w:r>
      <w:r>
        <w:rPr>
          <w:rFonts w:cstheme="minorHAnsi"/>
        </w:rPr>
        <w:t xml:space="preserve"> </w:t>
      </w:r>
      <w:r w:rsidR="008962FE">
        <w:rPr>
          <w:rFonts w:cstheme="minorHAnsi"/>
        </w:rPr>
        <w:t>principales</w:t>
      </w:r>
      <w:r>
        <w:rPr>
          <w:rFonts w:cstheme="minorHAnsi"/>
        </w:rPr>
        <w:t>, el modelo de despliegue y la categoría de servicio cloud que se ofrece</w:t>
      </w:r>
      <w:r w:rsidR="00EC3808" w:rsidRPr="00844BE5">
        <w:rPr>
          <w:rStyle w:val="Refdenotaalpie"/>
          <w:rFonts w:cstheme="minorHAnsi"/>
        </w:rPr>
        <w:footnoteReference w:id="6"/>
      </w:r>
      <w:r w:rsidR="008215FD">
        <w:rPr>
          <w:rFonts w:cstheme="minorHAnsi"/>
        </w:rPr>
        <w:t>.</w:t>
      </w:r>
    </w:p>
    <w:p w14:paraId="2CEFCE93" w14:textId="3679CFA4" w:rsidR="003F4C87" w:rsidRPr="00844BE5" w:rsidRDefault="003F4C87" w:rsidP="00302EB3">
      <w:pPr>
        <w:pStyle w:val="Prrafodelista"/>
        <w:autoSpaceDE w:val="0"/>
        <w:autoSpaceDN w:val="0"/>
        <w:adjustRightInd w:val="0"/>
        <w:spacing w:before="120" w:after="0" w:line="240" w:lineRule="auto"/>
        <w:ind w:left="0"/>
        <w:contextualSpacing w:val="0"/>
        <w:jc w:val="both"/>
        <w:rPr>
          <w:rFonts w:cstheme="minorHAnsi"/>
        </w:rPr>
      </w:pPr>
      <w:r w:rsidRPr="00844BE5">
        <w:rPr>
          <w:rFonts w:cstheme="minorHAnsi"/>
        </w:rPr>
        <w:t>En cuanto al</w:t>
      </w:r>
      <w:r w:rsidR="00B572BA" w:rsidRPr="00844BE5">
        <w:rPr>
          <w:rFonts w:cstheme="minorHAnsi"/>
        </w:rPr>
        <w:t xml:space="preserve"> </w:t>
      </w:r>
      <w:r w:rsidR="00B572BA" w:rsidRPr="00D41BA1">
        <w:rPr>
          <w:rFonts w:cstheme="minorHAnsi"/>
          <w:b/>
        </w:rPr>
        <w:t>modelo de despliegue</w:t>
      </w:r>
      <w:r w:rsidR="00D41BA1">
        <w:rPr>
          <w:rFonts w:cstheme="minorHAnsi"/>
        </w:rPr>
        <w:t xml:space="preserve"> podemos hablar de:</w:t>
      </w:r>
    </w:p>
    <w:p w14:paraId="64EA6E59" w14:textId="77777777" w:rsidR="00A44A88" w:rsidRPr="00A44A88" w:rsidRDefault="003F4C87" w:rsidP="00302EB3">
      <w:pPr>
        <w:tabs>
          <w:tab w:val="left" w:pos="567"/>
        </w:tabs>
        <w:autoSpaceDE w:val="0"/>
        <w:autoSpaceDN w:val="0"/>
        <w:adjustRightInd w:val="0"/>
        <w:spacing w:before="120" w:after="0" w:line="240" w:lineRule="auto"/>
        <w:ind w:left="1843" w:hanging="1844"/>
        <w:jc w:val="both"/>
        <w:rPr>
          <w:rFonts w:cstheme="minorHAnsi"/>
          <w:i/>
        </w:rPr>
      </w:pPr>
      <w:r w:rsidRPr="00A44A88">
        <w:rPr>
          <w:rFonts w:cstheme="minorHAnsi"/>
          <w:i/>
        </w:rPr>
        <w:t>Nube pública</w:t>
      </w:r>
    </w:p>
    <w:p w14:paraId="5DB3A79C" w14:textId="2DCD79B4" w:rsidR="00725ED2" w:rsidRDefault="00725ED2" w:rsidP="00725ED2">
      <w:pPr>
        <w:autoSpaceDE w:val="0"/>
        <w:autoSpaceDN w:val="0"/>
        <w:adjustRightInd w:val="0"/>
        <w:spacing w:before="120" w:after="0" w:line="240" w:lineRule="auto"/>
        <w:ind w:left="567"/>
        <w:jc w:val="both"/>
        <w:rPr>
          <w:rFonts w:cstheme="minorHAnsi"/>
        </w:rPr>
      </w:pPr>
      <w:r w:rsidRPr="00BE6FB7">
        <w:rPr>
          <w:rFonts w:cstheme="minorHAnsi"/>
        </w:rPr>
        <w:t xml:space="preserve">De acuerdo a lo establecido en la Guía de seguridad de las </w:t>
      </w:r>
      <w:r w:rsidR="00256969" w:rsidRPr="00BE6FB7">
        <w:rPr>
          <w:rFonts w:cstheme="minorHAnsi"/>
          <w:iCs/>
        </w:rPr>
        <w:t xml:space="preserve">TIC </w:t>
      </w:r>
      <w:hyperlink r:id="rId9" w:history="1">
        <w:r w:rsidR="00256969" w:rsidRPr="00BE6FB7">
          <w:rPr>
            <w:rStyle w:val="Hipervnculo"/>
            <w:rFonts w:cstheme="minorHAnsi"/>
            <w:i/>
          </w:rPr>
          <w:t>CCN-STIC-823 Utilización de servicios en la Nube</w:t>
        </w:r>
      </w:hyperlink>
      <w:r w:rsidRPr="00BE6FB7">
        <w:rPr>
          <w:rFonts w:cstheme="minorHAnsi"/>
        </w:rPr>
        <w:t>, se definen las nubes con modelos de despliegue públicos como aquellas cuya infraestructura es ofrecida al público general o a un gran grupo de industria, y dicha infraestructura es controlada por un proveedor de servicios en la nube.</w:t>
      </w:r>
    </w:p>
    <w:p w14:paraId="6739B409" w14:textId="7F403810" w:rsidR="003F4C87" w:rsidRPr="00A44A88" w:rsidRDefault="003F4C87" w:rsidP="00302EB3">
      <w:pPr>
        <w:autoSpaceDE w:val="0"/>
        <w:autoSpaceDN w:val="0"/>
        <w:adjustRightInd w:val="0"/>
        <w:spacing w:before="120" w:after="0" w:line="240" w:lineRule="auto"/>
        <w:ind w:left="567"/>
        <w:jc w:val="both"/>
        <w:rPr>
          <w:rFonts w:cstheme="minorHAnsi"/>
        </w:rPr>
      </w:pPr>
      <w:r w:rsidRPr="00A44A88">
        <w:rPr>
          <w:rFonts w:cstheme="minorHAnsi"/>
        </w:rPr>
        <w:t>Los recursos son propiedad de un proveedor de servicios en la nube</w:t>
      </w:r>
      <w:r w:rsidR="00AC56DE">
        <w:rPr>
          <w:rFonts w:cstheme="minorHAnsi"/>
        </w:rPr>
        <w:t xml:space="preserve"> (CSP)</w:t>
      </w:r>
      <w:r w:rsidRPr="00A44A88">
        <w:rPr>
          <w:rFonts w:cstheme="minorHAnsi"/>
        </w:rPr>
        <w:t xml:space="preserve">, quien los administra y los ofrece para el público en general a través de internet. </w:t>
      </w:r>
    </w:p>
    <w:p w14:paraId="084D016D" w14:textId="1797EBEE" w:rsidR="00A44A88" w:rsidRPr="00A44A88" w:rsidRDefault="003F4C87" w:rsidP="00302EB3">
      <w:pPr>
        <w:tabs>
          <w:tab w:val="left" w:pos="567"/>
        </w:tabs>
        <w:autoSpaceDE w:val="0"/>
        <w:autoSpaceDN w:val="0"/>
        <w:adjustRightInd w:val="0"/>
        <w:spacing w:before="120" w:after="0" w:line="240" w:lineRule="auto"/>
        <w:ind w:left="1843" w:hanging="1844"/>
        <w:jc w:val="both"/>
        <w:rPr>
          <w:rFonts w:cstheme="minorHAnsi"/>
          <w:i/>
        </w:rPr>
      </w:pPr>
      <w:r w:rsidRPr="00A44A88">
        <w:rPr>
          <w:rFonts w:cstheme="minorHAnsi"/>
          <w:i/>
        </w:rPr>
        <w:lastRenderedPageBreak/>
        <w:t>Nube privada</w:t>
      </w:r>
    </w:p>
    <w:p w14:paraId="2E9112DA" w14:textId="03AAA7DE" w:rsidR="00725ED2" w:rsidRPr="00BE6FB7" w:rsidRDefault="00725ED2" w:rsidP="00725ED2">
      <w:pPr>
        <w:autoSpaceDE w:val="0"/>
        <w:autoSpaceDN w:val="0"/>
        <w:adjustRightInd w:val="0"/>
        <w:spacing w:before="120" w:after="0" w:line="240" w:lineRule="auto"/>
        <w:ind w:left="567"/>
        <w:jc w:val="both"/>
        <w:rPr>
          <w:rFonts w:cstheme="minorHAnsi"/>
          <w:iCs/>
        </w:rPr>
      </w:pPr>
      <w:r w:rsidRPr="00BE6FB7">
        <w:rPr>
          <w:rFonts w:cstheme="minorHAnsi"/>
          <w:iCs/>
        </w:rPr>
        <w:t xml:space="preserve">De acuerdo a lo establecido en la Guía de seguridad de las TIC </w:t>
      </w:r>
      <w:hyperlink r:id="rId10" w:history="1">
        <w:r w:rsidRPr="00BE6FB7">
          <w:rPr>
            <w:rStyle w:val="Hipervnculo"/>
            <w:rFonts w:cstheme="minorHAnsi"/>
            <w:i/>
          </w:rPr>
          <w:t>CCN-STIC-823 Utilización de servicios en la Nube</w:t>
        </w:r>
      </w:hyperlink>
      <w:r w:rsidRPr="00BE6FB7">
        <w:rPr>
          <w:rFonts w:cstheme="minorHAnsi"/>
          <w:iCs/>
        </w:rPr>
        <w:t>, las nubes con modelos de despliegue privados se definen como aquellas que se basan en una infraestructura operada únicamente por una organización y que ofrecen servicios únicamente a esa misma organización.</w:t>
      </w:r>
    </w:p>
    <w:p w14:paraId="4358C5C2" w14:textId="5A98E864" w:rsidR="00B02184" w:rsidRPr="00BE6FB7" w:rsidRDefault="00725ED2" w:rsidP="00B02184">
      <w:pPr>
        <w:autoSpaceDE w:val="0"/>
        <w:autoSpaceDN w:val="0"/>
        <w:adjustRightInd w:val="0"/>
        <w:spacing w:before="120" w:after="0" w:line="240" w:lineRule="auto"/>
        <w:ind w:left="567"/>
        <w:jc w:val="both"/>
        <w:rPr>
          <w:rFonts w:cstheme="minorHAnsi"/>
          <w:iCs/>
        </w:rPr>
      </w:pPr>
      <w:r w:rsidRPr="00BE6FB7">
        <w:rPr>
          <w:rFonts w:cstheme="minorHAnsi"/>
          <w:iCs/>
        </w:rPr>
        <w:t xml:space="preserve">En diciembre de 2019 se publicó la guía </w:t>
      </w:r>
      <w:hyperlink r:id="rId11" w:history="1">
        <w:r w:rsidRPr="00BE6FB7">
          <w:rPr>
            <w:rStyle w:val="Hipervnculo"/>
            <w:rFonts w:cstheme="minorHAnsi"/>
            <w:i/>
          </w:rPr>
          <w:t>CCN-STIC-886 Perfil de cumplimiento específico para Sistemas Cloud Privados y Comunitarios.</w:t>
        </w:r>
      </w:hyperlink>
      <w:r w:rsidR="00B02184" w:rsidRPr="00BE6FB7">
        <w:rPr>
          <w:rFonts w:cstheme="minorHAnsi"/>
          <w:i/>
        </w:rPr>
        <w:t xml:space="preserve"> </w:t>
      </w:r>
      <w:r w:rsidR="00B02184" w:rsidRPr="00BE6FB7">
        <w:rPr>
          <w:rFonts w:cstheme="minorHAnsi"/>
          <w:iCs/>
        </w:rPr>
        <w:t>Este perfil de cumplimiento podrá ser de aplicación en los sistemas alojados en infraestructuras propias de la entidad interesada, o alojados en infraestructuras contratadas a proveedores de servicios de housing, siempre y cuando la responsabilidad de administración y configuración segura de la plataforma recaigan sobre la entidad.</w:t>
      </w:r>
    </w:p>
    <w:p w14:paraId="1BB76F7B" w14:textId="06F5CE26" w:rsidR="00B02184" w:rsidRPr="00BE6FB7" w:rsidRDefault="00B02184" w:rsidP="00B02184">
      <w:pPr>
        <w:autoSpaceDE w:val="0"/>
        <w:autoSpaceDN w:val="0"/>
        <w:adjustRightInd w:val="0"/>
        <w:spacing w:before="120" w:after="0" w:line="240" w:lineRule="auto"/>
        <w:ind w:left="567"/>
        <w:jc w:val="both"/>
        <w:rPr>
          <w:rFonts w:cstheme="minorHAnsi"/>
        </w:rPr>
      </w:pPr>
      <w:r w:rsidRPr="00BE6FB7">
        <w:rPr>
          <w:rFonts w:ascii="Calibri" w:hAnsi="Calibri" w:cs="Calibri"/>
        </w:rPr>
        <w:t xml:space="preserve">Es decir, en estos casos la entidad </w:t>
      </w:r>
      <w:r w:rsidRPr="00BE6FB7">
        <w:rPr>
          <w:rFonts w:cstheme="minorHAnsi"/>
        </w:rPr>
        <w:t xml:space="preserve">dispone de un control total del entorno. </w:t>
      </w:r>
    </w:p>
    <w:p w14:paraId="79FCDF57" w14:textId="33C1FB23" w:rsidR="00B02184" w:rsidRPr="00B02184" w:rsidRDefault="00B02184" w:rsidP="00B02184">
      <w:pPr>
        <w:autoSpaceDE w:val="0"/>
        <w:autoSpaceDN w:val="0"/>
        <w:adjustRightInd w:val="0"/>
        <w:spacing w:before="120" w:after="0" w:line="240" w:lineRule="auto"/>
        <w:ind w:left="567"/>
        <w:jc w:val="both"/>
        <w:rPr>
          <w:rFonts w:cstheme="minorHAnsi"/>
        </w:rPr>
      </w:pPr>
      <w:r w:rsidRPr="00BE6FB7">
        <w:rPr>
          <w:rFonts w:cstheme="minorHAnsi"/>
        </w:rPr>
        <w:t xml:space="preserve">La nube privada, aunque está diseñada según un esquema cloud, solo es un caso particular de sistema de información al que hay que aplicar la metodología del enfoque de riesgo y la GPF-OCEX 5330 y al no ser un servicio cloud contratado con un CSP </w:t>
      </w:r>
      <w:r w:rsidRPr="00BE6FB7">
        <w:rPr>
          <w:rFonts w:cstheme="minorHAnsi"/>
          <w:b/>
        </w:rPr>
        <w:t>n</w:t>
      </w:r>
      <w:r w:rsidRPr="00BE6FB7">
        <w:rPr>
          <w:rFonts w:ascii="Calibri" w:hAnsi="Calibri" w:cs="Calibri"/>
          <w:b/>
        </w:rPr>
        <w:t>o</w:t>
      </w:r>
      <w:r w:rsidRPr="00BE6FB7">
        <w:rPr>
          <w:rFonts w:ascii="Calibri" w:hAnsi="Calibri" w:cs="Calibri"/>
        </w:rPr>
        <w:t xml:space="preserve"> l</w:t>
      </w:r>
      <w:r w:rsidR="008A497D" w:rsidRPr="00BE6FB7">
        <w:rPr>
          <w:rFonts w:ascii="Calibri" w:hAnsi="Calibri" w:cs="Calibri"/>
        </w:rPr>
        <w:t>e aplican las consideraciones siguientes de esta</w:t>
      </w:r>
      <w:r w:rsidRPr="00BE6FB7">
        <w:rPr>
          <w:rFonts w:ascii="Calibri" w:hAnsi="Calibri" w:cs="Calibri"/>
        </w:rPr>
        <w:t xml:space="preserve"> guía.</w:t>
      </w:r>
    </w:p>
    <w:p w14:paraId="14279BBE" w14:textId="77777777" w:rsidR="00A44A88" w:rsidRPr="00A44A88" w:rsidRDefault="003F4C87" w:rsidP="00302EB3">
      <w:pPr>
        <w:tabs>
          <w:tab w:val="left" w:pos="567"/>
        </w:tabs>
        <w:autoSpaceDE w:val="0"/>
        <w:autoSpaceDN w:val="0"/>
        <w:adjustRightInd w:val="0"/>
        <w:spacing w:before="120" w:after="0" w:line="240" w:lineRule="auto"/>
        <w:ind w:left="1843" w:hanging="1844"/>
        <w:jc w:val="both"/>
        <w:rPr>
          <w:rFonts w:cstheme="minorHAnsi"/>
          <w:i/>
        </w:rPr>
      </w:pPr>
      <w:r w:rsidRPr="00A44A88">
        <w:rPr>
          <w:rFonts w:cstheme="minorHAnsi"/>
          <w:i/>
        </w:rPr>
        <w:t>Nube comunitaria</w:t>
      </w:r>
    </w:p>
    <w:p w14:paraId="5FBBC243" w14:textId="2B1D7DE8" w:rsidR="00725ED2" w:rsidRPr="00BE6FB7" w:rsidRDefault="00B02184" w:rsidP="00725ED2">
      <w:pPr>
        <w:pStyle w:val="Prrafodelista"/>
        <w:autoSpaceDE w:val="0"/>
        <w:autoSpaceDN w:val="0"/>
        <w:adjustRightInd w:val="0"/>
        <w:spacing w:before="120" w:after="0" w:line="240" w:lineRule="auto"/>
        <w:ind w:left="567"/>
        <w:jc w:val="both"/>
        <w:rPr>
          <w:rFonts w:cstheme="minorHAnsi"/>
        </w:rPr>
      </w:pPr>
      <w:r w:rsidRPr="00BE6FB7">
        <w:rPr>
          <w:rFonts w:cstheme="minorHAnsi"/>
        </w:rPr>
        <w:t>L</w:t>
      </w:r>
      <w:r w:rsidR="00725ED2" w:rsidRPr="00BE6FB7">
        <w:rPr>
          <w:rFonts w:cstheme="minorHAnsi"/>
        </w:rPr>
        <w:t>as nubes con modelos de despliegue comunitarios se definen como aquellas alojadas en infraestructuras compartidas por varias organizaciones, relacionadas entre ellas compartiendo requisitos de servicio, donde uno de los miembros del colectivo controla la infraestructura.</w:t>
      </w:r>
    </w:p>
    <w:p w14:paraId="5312382A" w14:textId="3BA20B58" w:rsidR="008A497D" w:rsidRPr="00BE6FB7" w:rsidRDefault="008A497D" w:rsidP="008A497D">
      <w:pPr>
        <w:pStyle w:val="Prrafodelista"/>
        <w:autoSpaceDE w:val="0"/>
        <w:autoSpaceDN w:val="0"/>
        <w:adjustRightInd w:val="0"/>
        <w:spacing w:before="120" w:after="0" w:line="240" w:lineRule="auto"/>
        <w:ind w:left="567"/>
        <w:contextualSpacing w:val="0"/>
        <w:jc w:val="both"/>
        <w:rPr>
          <w:rFonts w:cstheme="minorHAnsi"/>
        </w:rPr>
      </w:pPr>
      <w:r w:rsidRPr="00BE6FB7">
        <w:rPr>
          <w:rFonts w:cstheme="minorHAnsi"/>
        </w:rPr>
        <w:t xml:space="preserve">Los recursos se pueden administrar internamente o por un tercero y se pueden alojar de forma local o externa. Las organizaciones comparten el coste y, a menudo, tienen requisitos de seguridad en la nube y objetivos similares. </w:t>
      </w:r>
    </w:p>
    <w:p w14:paraId="7D0172E7" w14:textId="32B371B3" w:rsidR="008A497D" w:rsidRPr="00BE6FB7" w:rsidRDefault="008A497D" w:rsidP="008A497D">
      <w:pPr>
        <w:pStyle w:val="Prrafodelista"/>
        <w:autoSpaceDE w:val="0"/>
        <w:autoSpaceDN w:val="0"/>
        <w:adjustRightInd w:val="0"/>
        <w:spacing w:before="120" w:after="0" w:line="240" w:lineRule="auto"/>
        <w:ind w:left="567"/>
        <w:contextualSpacing w:val="0"/>
        <w:jc w:val="both"/>
        <w:rPr>
          <w:rFonts w:cstheme="minorHAnsi"/>
        </w:rPr>
      </w:pPr>
      <w:r w:rsidRPr="00BE6FB7">
        <w:rPr>
          <w:rFonts w:cstheme="minorHAnsi"/>
        </w:rPr>
        <w:t>Las soluciones de Administración Electrónica antes mencionadas pueden considerarse incluidas en esta clasificación.</w:t>
      </w:r>
      <w:r w:rsidR="00E51526" w:rsidRPr="00BE6FB7">
        <w:rPr>
          <w:rFonts w:cstheme="minorHAnsi"/>
        </w:rPr>
        <w:t xml:space="preserve"> Desde el punto de vista del órgano fiscalizador, los procedimientos de auditoría a aplicar diferirán en función del ente auditado, es decir, si es el que presta el servicio o, por el contrario, si es un ente consumidor de dicho servicio.</w:t>
      </w:r>
    </w:p>
    <w:p w14:paraId="57E13A0C" w14:textId="77777777" w:rsidR="00B02184" w:rsidRPr="00725ED2" w:rsidRDefault="00B02184" w:rsidP="00B02184">
      <w:pPr>
        <w:autoSpaceDE w:val="0"/>
        <w:autoSpaceDN w:val="0"/>
        <w:adjustRightInd w:val="0"/>
        <w:spacing w:before="120" w:after="0" w:line="240" w:lineRule="auto"/>
        <w:ind w:left="567"/>
        <w:jc w:val="both"/>
        <w:rPr>
          <w:rFonts w:cstheme="minorHAnsi"/>
          <w:iCs/>
        </w:rPr>
      </w:pPr>
      <w:r w:rsidRPr="00BE6FB7">
        <w:rPr>
          <w:rFonts w:cstheme="minorHAnsi"/>
          <w:iCs/>
        </w:rPr>
        <w:t xml:space="preserve">En diciembre de 2019 se publicó la guía </w:t>
      </w:r>
      <w:hyperlink r:id="rId12" w:history="1">
        <w:r w:rsidRPr="00BE6FB7">
          <w:rPr>
            <w:rStyle w:val="Hipervnculo"/>
            <w:rFonts w:cstheme="minorHAnsi"/>
            <w:i/>
          </w:rPr>
          <w:t>CCN-STIC-886 Perfil de cumplimiento específico para Sistemas Cloud Privados y Comunitarios.</w:t>
        </w:r>
      </w:hyperlink>
      <w:r w:rsidRPr="00BE6FB7">
        <w:rPr>
          <w:rFonts w:cstheme="minorHAnsi"/>
          <w:i/>
        </w:rPr>
        <w:t xml:space="preserve"> </w:t>
      </w:r>
      <w:r w:rsidRPr="00BE6FB7">
        <w:rPr>
          <w:rFonts w:cstheme="minorHAnsi"/>
          <w:iCs/>
        </w:rPr>
        <w:t>Este perfil de cumplimiento podrá ser de aplicación en los sistemas alojados en infraestructuras propias de la entidad interesada, o alojados en infraestructuras contratadas a proveedores de servicios de housing, siempre y cuando la responsabilidad de administración y configuración segura de la plataforma recaigan sobre la entidad.</w:t>
      </w:r>
    </w:p>
    <w:p w14:paraId="573BE618" w14:textId="77777777" w:rsidR="00A44A88" w:rsidRPr="00A44A88" w:rsidRDefault="00480591" w:rsidP="00302EB3">
      <w:pPr>
        <w:tabs>
          <w:tab w:val="left" w:pos="567"/>
        </w:tabs>
        <w:autoSpaceDE w:val="0"/>
        <w:autoSpaceDN w:val="0"/>
        <w:adjustRightInd w:val="0"/>
        <w:spacing w:before="120" w:after="0" w:line="240" w:lineRule="auto"/>
        <w:ind w:left="1843" w:hanging="1844"/>
        <w:jc w:val="both"/>
        <w:rPr>
          <w:rFonts w:cstheme="minorHAnsi"/>
          <w:i/>
        </w:rPr>
      </w:pPr>
      <w:r w:rsidRPr="00A44A88">
        <w:rPr>
          <w:rFonts w:cstheme="minorHAnsi"/>
          <w:i/>
        </w:rPr>
        <w:t>Nube</w:t>
      </w:r>
      <w:r w:rsidR="003F4C87" w:rsidRPr="00A44A88">
        <w:rPr>
          <w:rFonts w:cstheme="minorHAnsi"/>
          <w:i/>
        </w:rPr>
        <w:t xml:space="preserve"> híbrida</w:t>
      </w:r>
    </w:p>
    <w:p w14:paraId="2BCF45D2" w14:textId="39FE67A2" w:rsidR="00480591" w:rsidRPr="00A44A88" w:rsidRDefault="00A44A88" w:rsidP="00302EB3">
      <w:pPr>
        <w:autoSpaceDE w:val="0"/>
        <w:autoSpaceDN w:val="0"/>
        <w:adjustRightInd w:val="0"/>
        <w:spacing w:before="120" w:after="0" w:line="240" w:lineRule="auto"/>
        <w:ind w:left="567"/>
        <w:jc w:val="both"/>
        <w:rPr>
          <w:rFonts w:cstheme="minorHAnsi"/>
        </w:rPr>
      </w:pPr>
      <w:r>
        <w:rPr>
          <w:rFonts w:cstheme="minorHAnsi"/>
        </w:rPr>
        <w:t>C</w:t>
      </w:r>
      <w:r w:rsidR="00480591" w:rsidRPr="00A44A88">
        <w:rPr>
          <w:rFonts w:cstheme="minorHAnsi"/>
        </w:rPr>
        <w:t>ombina dos o más modelos de los anteriores.</w:t>
      </w:r>
    </w:p>
    <w:p w14:paraId="7917B006" w14:textId="2DBE9034" w:rsidR="0028359E" w:rsidRPr="00844BE5" w:rsidRDefault="003F4C87" w:rsidP="00AB272A">
      <w:pPr>
        <w:pStyle w:val="Prrafodelista"/>
        <w:keepNext/>
        <w:autoSpaceDE w:val="0"/>
        <w:autoSpaceDN w:val="0"/>
        <w:adjustRightInd w:val="0"/>
        <w:spacing w:before="120" w:after="0" w:line="240" w:lineRule="auto"/>
        <w:ind w:left="0"/>
        <w:contextualSpacing w:val="0"/>
        <w:jc w:val="both"/>
        <w:rPr>
          <w:rFonts w:cstheme="minorHAnsi"/>
        </w:rPr>
      </w:pPr>
      <w:r w:rsidRPr="00844BE5">
        <w:rPr>
          <w:rFonts w:cstheme="minorHAnsi"/>
        </w:rPr>
        <w:t xml:space="preserve">En cuanto a las </w:t>
      </w:r>
      <w:r w:rsidRPr="00D41BA1">
        <w:rPr>
          <w:rFonts w:cstheme="minorHAnsi"/>
          <w:b/>
        </w:rPr>
        <w:t xml:space="preserve">categorías </w:t>
      </w:r>
      <w:r w:rsidR="00B572BA" w:rsidRPr="00D41BA1">
        <w:rPr>
          <w:rFonts w:cstheme="minorHAnsi"/>
          <w:b/>
        </w:rPr>
        <w:t>de servicio</w:t>
      </w:r>
      <w:r w:rsidR="00D022E6" w:rsidRPr="00D41BA1">
        <w:rPr>
          <w:rFonts w:cstheme="minorHAnsi"/>
          <w:b/>
        </w:rPr>
        <w:t>s cloud</w:t>
      </w:r>
      <w:r w:rsidR="00B572BA" w:rsidRPr="00844BE5">
        <w:rPr>
          <w:rFonts w:cstheme="minorHAnsi"/>
        </w:rPr>
        <w:t xml:space="preserve"> que se ofrecen</w:t>
      </w:r>
      <w:r w:rsidR="00B37B8C" w:rsidRPr="00844BE5">
        <w:rPr>
          <w:rFonts w:cstheme="minorHAnsi"/>
        </w:rPr>
        <w:t>, l</w:t>
      </w:r>
      <w:r w:rsidR="004D5D53">
        <w:rPr>
          <w:rFonts w:cstheme="minorHAnsi"/>
        </w:rPr>
        <w:t>a</w:t>
      </w:r>
      <w:r w:rsidR="00B37B8C" w:rsidRPr="00844BE5">
        <w:rPr>
          <w:rFonts w:cstheme="minorHAnsi"/>
        </w:rPr>
        <w:t>s principales son:</w:t>
      </w:r>
    </w:p>
    <w:p w14:paraId="19A2FF92" w14:textId="434C6022" w:rsidR="00A44A88" w:rsidRPr="00A44A88" w:rsidRDefault="00D022E6" w:rsidP="00302EB3">
      <w:pPr>
        <w:tabs>
          <w:tab w:val="left" w:pos="567"/>
        </w:tabs>
        <w:autoSpaceDE w:val="0"/>
        <w:autoSpaceDN w:val="0"/>
        <w:adjustRightInd w:val="0"/>
        <w:spacing w:before="120" w:after="0" w:line="240" w:lineRule="auto"/>
        <w:ind w:left="1843" w:hanging="1844"/>
        <w:jc w:val="both"/>
        <w:rPr>
          <w:rFonts w:cstheme="minorHAnsi"/>
          <w:i/>
        </w:rPr>
      </w:pPr>
      <w:r w:rsidRPr="00A44A88">
        <w:rPr>
          <w:rFonts w:cstheme="minorHAnsi"/>
          <w:i/>
        </w:rPr>
        <w:t>Infraestructura como servicio</w:t>
      </w:r>
      <w:r w:rsidR="00B572BA" w:rsidRPr="00A44A88">
        <w:rPr>
          <w:rFonts w:cstheme="minorHAnsi"/>
          <w:i/>
        </w:rPr>
        <w:t xml:space="preserve"> (</w:t>
      </w:r>
      <w:r w:rsidRPr="00A44A88">
        <w:rPr>
          <w:rFonts w:cstheme="minorHAnsi"/>
          <w:i/>
        </w:rPr>
        <w:t xml:space="preserve">Infrastructure-as-a-Service o </w:t>
      </w:r>
      <w:r w:rsidR="00B572BA" w:rsidRPr="00A44A88">
        <w:rPr>
          <w:rFonts w:cstheme="minorHAnsi"/>
          <w:i/>
        </w:rPr>
        <w:t>IaaS)</w:t>
      </w:r>
    </w:p>
    <w:p w14:paraId="6DDFBD03" w14:textId="3C5CB788" w:rsidR="009C7826" w:rsidRPr="00A44A88" w:rsidRDefault="00D022E6" w:rsidP="00302EB3">
      <w:pPr>
        <w:autoSpaceDE w:val="0"/>
        <w:autoSpaceDN w:val="0"/>
        <w:adjustRightInd w:val="0"/>
        <w:spacing w:before="120" w:after="0" w:line="240" w:lineRule="auto"/>
        <w:ind w:left="567"/>
        <w:jc w:val="both"/>
        <w:rPr>
          <w:rFonts w:cstheme="minorHAnsi"/>
        </w:rPr>
      </w:pPr>
      <w:r w:rsidRPr="00A44A88">
        <w:rPr>
          <w:rFonts w:cstheme="minorHAnsi"/>
        </w:rPr>
        <w:t xml:space="preserve">El proveedor se encarga de la administración de la infraestructura </w:t>
      </w:r>
      <w:r w:rsidR="008962FE">
        <w:rPr>
          <w:rFonts w:cstheme="minorHAnsi"/>
        </w:rPr>
        <w:t xml:space="preserve">(hardware, redes de comunicaciones y almacenamiento) </w:t>
      </w:r>
      <w:r w:rsidRPr="00A44A88">
        <w:rPr>
          <w:rFonts w:cstheme="minorHAnsi"/>
        </w:rPr>
        <w:t xml:space="preserve">y el cliente tiene el control sobre los sistemas operativos, </w:t>
      </w:r>
      <w:r w:rsidR="005C31C9">
        <w:rPr>
          <w:rFonts w:cstheme="minorHAnsi"/>
        </w:rPr>
        <w:t>y todas las aplicaciones que instale en dichos recursos</w:t>
      </w:r>
      <w:r w:rsidR="00E42BA0" w:rsidRPr="00A44A88">
        <w:rPr>
          <w:rFonts w:cstheme="minorHAnsi"/>
        </w:rPr>
        <w:t>.</w:t>
      </w:r>
      <w:r w:rsidR="0036201D" w:rsidRPr="00A44A88">
        <w:rPr>
          <w:rFonts w:cstheme="minorHAnsi"/>
        </w:rPr>
        <w:t xml:space="preserve"> </w:t>
      </w:r>
    </w:p>
    <w:p w14:paraId="3D5F5F37" w14:textId="6CB0EB13" w:rsidR="00D022E6" w:rsidRPr="00A44A88" w:rsidRDefault="0036201D" w:rsidP="00302EB3">
      <w:pPr>
        <w:autoSpaceDE w:val="0"/>
        <w:autoSpaceDN w:val="0"/>
        <w:adjustRightInd w:val="0"/>
        <w:spacing w:before="120" w:after="0" w:line="240" w:lineRule="auto"/>
        <w:ind w:left="567"/>
        <w:jc w:val="both"/>
        <w:rPr>
          <w:rFonts w:cstheme="minorHAnsi"/>
        </w:rPr>
      </w:pPr>
      <w:r w:rsidRPr="00A44A88">
        <w:rPr>
          <w:rFonts w:cstheme="minorHAnsi"/>
        </w:rPr>
        <w:t xml:space="preserve">Como ejemplo </w:t>
      </w:r>
      <w:r w:rsidR="0098526C" w:rsidRPr="00A44A88">
        <w:rPr>
          <w:rFonts w:cstheme="minorHAnsi"/>
        </w:rPr>
        <w:t>tenemos</w:t>
      </w:r>
      <w:r w:rsidR="00E716CC" w:rsidRPr="00A44A88">
        <w:rPr>
          <w:rFonts w:cstheme="minorHAnsi"/>
        </w:rPr>
        <w:t xml:space="preserve"> máquinas virtuales</w:t>
      </w:r>
      <w:r w:rsidR="003B5ACC" w:rsidRPr="00A44A88">
        <w:rPr>
          <w:rFonts w:cstheme="minorHAnsi"/>
        </w:rPr>
        <w:t xml:space="preserve"> o </w:t>
      </w:r>
      <w:r w:rsidR="00E716CC" w:rsidRPr="00A44A88">
        <w:rPr>
          <w:rFonts w:cstheme="minorHAnsi"/>
        </w:rPr>
        <w:t>servidores</w:t>
      </w:r>
      <w:r w:rsidR="003B5ACC" w:rsidRPr="00A44A88">
        <w:rPr>
          <w:rFonts w:cstheme="minorHAnsi"/>
        </w:rPr>
        <w:t xml:space="preserve"> como </w:t>
      </w:r>
      <w:r w:rsidR="0098526C" w:rsidRPr="00A44A88">
        <w:rPr>
          <w:rFonts w:cstheme="minorHAnsi"/>
        </w:rPr>
        <w:t>Amazon web services (AWS),</w:t>
      </w:r>
      <w:r w:rsidR="00EA2C1D">
        <w:rPr>
          <w:rFonts w:cstheme="minorHAnsi"/>
        </w:rPr>
        <w:t xml:space="preserve"> por ejemplo, para instalar después una base de datos</w:t>
      </w:r>
      <w:r w:rsidR="0098526C" w:rsidRPr="00A44A88">
        <w:rPr>
          <w:rFonts w:cstheme="minorHAnsi"/>
        </w:rPr>
        <w:t>.</w:t>
      </w:r>
    </w:p>
    <w:p w14:paraId="4E0E2661" w14:textId="77777777" w:rsidR="00E34116" w:rsidRDefault="00E34116">
      <w:pPr>
        <w:rPr>
          <w:rFonts w:cstheme="minorHAnsi"/>
          <w:i/>
        </w:rPr>
      </w:pPr>
      <w:r>
        <w:rPr>
          <w:rFonts w:cstheme="minorHAnsi"/>
          <w:i/>
        </w:rPr>
        <w:br w:type="page"/>
      </w:r>
    </w:p>
    <w:p w14:paraId="7854A566" w14:textId="293414C9" w:rsidR="00A44A88" w:rsidRPr="00A44A88" w:rsidRDefault="00D022E6" w:rsidP="00302EB3">
      <w:pPr>
        <w:tabs>
          <w:tab w:val="left" w:pos="567"/>
        </w:tabs>
        <w:autoSpaceDE w:val="0"/>
        <w:autoSpaceDN w:val="0"/>
        <w:adjustRightInd w:val="0"/>
        <w:spacing w:before="120" w:after="0" w:line="240" w:lineRule="auto"/>
        <w:ind w:left="1843" w:hanging="1844"/>
        <w:jc w:val="both"/>
        <w:rPr>
          <w:rFonts w:cstheme="minorHAnsi"/>
          <w:i/>
        </w:rPr>
      </w:pPr>
      <w:r w:rsidRPr="00A44A88">
        <w:rPr>
          <w:rFonts w:cstheme="minorHAnsi"/>
          <w:i/>
        </w:rPr>
        <w:lastRenderedPageBreak/>
        <w:t>Plataforma como servicio</w:t>
      </w:r>
      <w:r w:rsidR="00B572BA" w:rsidRPr="00A44A88">
        <w:rPr>
          <w:rFonts w:cstheme="minorHAnsi"/>
          <w:i/>
        </w:rPr>
        <w:t xml:space="preserve"> (</w:t>
      </w:r>
      <w:r w:rsidRPr="00A44A88">
        <w:rPr>
          <w:rFonts w:cstheme="minorHAnsi"/>
          <w:i/>
        </w:rPr>
        <w:t>Platform-as-a-Service o PaaS)</w:t>
      </w:r>
    </w:p>
    <w:p w14:paraId="42E178DA" w14:textId="3D2E6B5E" w:rsidR="00EA2C1D" w:rsidRPr="00A44A88" w:rsidRDefault="00EA2C1D" w:rsidP="00EA2C1D">
      <w:pPr>
        <w:autoSpaceDE w:val="0"/>
        <w:autoSpaceDN w:val="0"/>
        <w:adjustRightInd w:val="0"/>
        <w:spacing w:before="120" w:after="0" w:line="240" w:lineRule="auto"/>
        <w:ind w:left="567"/>
        <w:jc w:val="both"/>
        <w:rPr>
          <w:rFonts w:cstheme="minorHAnsi"/>
        </w:rPr>
      </w:pPr>
      <w:r>
        <w:t xml:space="preserve">PaaS agrega una capa adicional a lo que facilita IaaS y añade utilidades para el desarrollo de aplicaciones, bases de datos, etc. </w:t>
      </w:r>
    </w:p>
    <w:p w14:paraId="5C880AE4" w14:textId="0F5CC46E" w:rsidR="00EA2C1D" w:rsidRPr="00A44A88" w:rsidRDefault="00EA2C1D" w:rsidP="00EA2C1D">
      <w:pPr>
        <w:autoSpaceDE w:val="0"/>
        <w:autoSpaceDN w:val="0"/>
        <w:adjustRightInd w:val="0"/>
        <w:spacing w:before="120" w:after="0" w:line="240" w:lineRule="auto"/>
        <w:ind w:left="567"/>
        <w:jc w:val="both"/>
        <w:rPr>
          <w:rFonts w:cstheme="minorHAnsi"/>
        </w:rPr>
      </w:pPr>
      <w:r>
        <w:rPr>
          <w:rFonts w:cstheme="minorHAnsi"/>
        </w:rPr>
        <w:t xml:space="preserve">Siguiendo con el ejemplo de base de datos, en PaaS </w:t>
      </w:r>
      <w:r>
        <w:t xml:space="preserve">la base de datos se expandiría (o contraería) según sea necesario en función de su uso de forma transparente para el cliente, quien tampoco tendría que administrar los servidores individuales sobre los que esté la base de datos, las redes que la comuniquen, etc. </w:t>
      </w:r>
    </w:p>
    <w:p w14:paraId="07814118" w14:textId="73C19F9A" w:rsidR="00E42BA0" w:rsidRDefault="0036201D" w:rsidP="00302EB3">
      <w:pPr>
        <w:autoSpaceDE w:val="0"/>
        <w:autoSpaceDN w:val="0"/>
        <w:adjustRightInd w:val="0"/>
        <w:spacing w:before="120" w:after="0" w:line="240" w:lineRule="auto"/>
        <w:ind w:left="567"/>
        <w:jc w:val="both"/>
        <w:rPr>
          <w:rFonts w:cstheme="minorHAnsi"/>
        </w:rPr>
      </w:pPr>
      <w:r w:rsidRPr="00A44A88">
        <w:rPr>
          <w:rFonts w:cstheme="minorHAnsi"/>
        </w:rPr>
        <w:t xml:space="preserve">Google app engine para el desarrollo de aplicaciones es </w:t>
      </w:r>
      <w:r w:rsidR="00EF21AE">
        <w:rPr>
          <w:rFonts w:cstheme="minorHAnsi"/>
        </w:rPr>
        <w:t>un</w:t>
      </w:r>
      <w:r w:rsidRPr="00A44A88">
        <w:rPr>
          <w:rFonts w:cstheme="minorHAnsi"/>
        </w:rPr>
        <w:t xml:space="preserve"> ejemplo de </w:t>
      </w:r>
      <w:r w:rsidR="0097101C">
        <w:rPr>
          <w:rFonts w:cstheme="minorHAnsi"/>
        </w:rPr>
        <w:t>esta categoría</w:t>
      </w:r>
      <w:r w:rsidRPr="00A44A88">
        <w:rPr>
          <w:rFonts w:cstheme="minorHAnsi"/>
        </w:rPr>
        <w:t>.</w:t>
      </w:r>
    </w:p>
    <w:p w14:paraId="2BCCE454" w14:textId="2FC68A1D" w:rsidR="00A44A88" w:rsidRPr="00A44A88" w:rsidRDefault="00D022E6" w:rsidP="00302EB3">
      <w:pPr>
        <w:tabs>
          <w:tab w:val="left" w:pos="567"/>
        </w:tabs>
        <w:autoSpaceDE w:val="0"/>
        <w:autoSpaceDN w:val="0"/>
        <w:adjustRightInd w:val="0"/>
        <w:spacing w:before="120" w:after="0" w:line="240" w:lineRule="auto"/>
        <w:ind w:left="1843" w:hanging="1844"/>
        <w:jc w:val="both"/>
        <w:rPr>
          <w:rFonts w:cstheme="minorHAnsi"/>
          <w:i/>
        </w:rPr>
      </w:pPr>
      <w:r w:rsidRPr="00A44A88">
        <w:rPr>
          <w:rFonts w:cstheme="minorHAnsi"/>
          <w:i/>
        </w:rPr>
        <w:t>Software como servicio</w:t>
      </w:r>
      <w:r w:rsidR="00B572BA" w:rsidRPr="00A44A88">
        <w:rPr>
          <w:rFonts w:cstheme="minorHAnsi"/>
          <w:i/>
        </w:rPr>
        <w:t xml:space="preserve"> (</w:t>
      </w:r>
      <w:r w:rsidRPr="00A44A88">
        <w:rPr>
          <w:rFonts w:cstheme="minorHAnsi"/>
          <w:i/>
        </w:rPr>
        <w:t xml:space="preserve">Software-as-a-Service o </w:t>
      </w:r>
      <w:r w:rsidR="00B572BA" w:rsidRPr="00A44A88">
        <w:rPr>
          <w:rFonts w:cstheme="minorHAnsi"/>
          <w:i/>
        </w:rPr>
        <w:t>SaaS</w:t>
      </w:r>
      <w:r w:rsidR="0028359E" w:rsidRPr="00A44A88">
        <w:rPr>
          <w:rFonts w:cstheme="minorHAnsi"/>
          <w:i/>
        </w:rPr>
        <w:t>)</w:t>
      </w:r>
    </w:p>
    <w:p w14:paraId="13E0FDCE" w14:textId="6B55A3E5" w:rsidR="009C7826" w:rsidRPr="00A44A88" w:rsidRDefault="00E42BA0" w:rsidP="00302EB3">
      <w:pPr>
        <w:autoSpaceDE w:val="0"/>
        <w:autoSpaceDN w:val="0"/>
        <w:adjustRightInd w:val="0"/>
        <w:spacing w:before="120" w:after="0" w:line="240" w:lineRule="auto"/>
        <w:ind w:left="567"/>
        <w:jc w:val="both"/>
        <w:rPr>
          <w:rFonts w:cstheme="minorHAnsi"/>
        </w:rPr>
      </w:pPr>
      <w:r w:rsidRPr="00A44A88">
        <w:rPr>
          <w:rFonts w:cstheme="minorHAnsi"/>
        </w:rPr>
        <w:t>El proveedor ofrece al cliente aplicaciones como un servicio. Estas aplicaciones son accesibles por los clientes</w:t>
      </w:r>
      <w:r w:rsidR="008962FE">
        <w:rPr>
          <w:rFonts w:cstheme="minorHAnsi"/>
        </w:rPr>
        <w:t xml:space="preserve"> (mediante el navegador, aplicación móvil, etc.)</w:t>
      </w:r>
      <w:r w:rsidRPr="00A44A88">
        <w:rPr>
          <w:rFonts w:cstheme="minorHAnsi"/>
        </w:rPr>
        <w:t xml:space="preserve">, quienes no administran ni controlan la infraestructura en que se basa el servicio. </w:t>
      </w:r>
    </w:p>
    <w:p w14:paraId="7F4D7CDA" w14:textId="1101F982" w:rsidR="00B572BA" w:rsidRPr="00A44A88" w:rsidRDefault="00E42BA0" w:rsidP="00302EB3">
      <w:pPr>
        <w:autoSpaceDE w:val="0"/>
        <w:autoSpaceDN w:val="0"/>
        <w:adjustRightInd w:val="0"/>
        <w:spacing w:before="120" w:after="0" w:line="240" w:lineRule="auto"/>
        <w:ind w:left="567"/>
        <w:jc w:val="both"/>
        <w:rPr>
          <w:rFonts w:cstheme="minorHAnsi"/>
        </w:rPr>
      </w:pPr>
      <w:r w:rsidRPr="00A44A88">
        <w:rPr>
          <w:rFonts w:cstheme="minorHAnsi"/>
        </w:rPr>
        <w:t>Ejemplo: suites ofim</w:t>
      </w:r>
      <w:r w:rsidR="001709E0" w:rsidRPr="00A44A88">
        <w:rPr>
          <w:rFonts w:cstheme="minorHAnsi"/>
        </w:rPr>
        <w:t xml:space="preserve">áticas online, Gmail, </w:t>
      </w:r>
      <w:r w:rsidR="00FF0F31">
        <w:rPr>
          <w:rFonts w:cstheme="minorHAnsi"/>
        </w:rPr>
        <w:t>TeamMate</w:t>
      </w:r>
      <w:r w:rsidR="00AB272A">
        <w:rPr>
          <w:rFonts w:cstheme="minorHAnsi"/>
        </w:rPr>
        <w:t xml:space="preserve"> (versión web)</w:t>
      </w:r>
      <w:r w:rsidR="001709E0" w:rsidRPr="00A44A88">
        <w:rPr>
          <w:rFonts w:cstheme="minorHAnsi"/>
        </w:rPr>
        <w:t>,</w:t>
      </w:r>
      <w:r w:rsidR="008962FE">
        <w:rPr>
          <w:rFonts w:cstheme="minorHAnsi"/>
        </w:rPr>
        <w:t xml:space="preserve"> FACE,</w:t>
      </w:r>
      <w:r w:rsidR="001709E0" w:rsidRPr="00A44A88">
        <w:rPr>
          <w:rFonts w:cstheme="minorHAnsi"/>
        </w:rPr>
        <w:t xml:space="preserve"> etc.</w:t>
      </w:r>
    </w:p>
    <w:p w14:paraId="206F9185" w14:textId="3EB0C49E" w:rsidR="00D94179" w:rsidRDefault="007B1A3D" w:rsidP="007B1A3D">
      <w:pPr>
        <w:autoSpaceDE w:val="0"/>
        <w:autoSpaceDN w:val="0"/>
        <w:adjustRightInd w:val="0"/>
        <w:spacing w:before="120" w:after="0" w:line="240" w:lineRule="auto"/>
        <w:jc w:val="both"/>
        <w:rPr>
          <w:rFonts w:ascii="Calibri" w:hAnsi="Calibri" w:cs="Calibri"/>
        </w:rPr>
      </w:pPr>
      <w:r w:rsidRPr="007B1A3D">
        <w:rPr>
          <w:rFonts w:ascii="Calibri" w:hAnsi="Calibri" w:cs="Calibri"/>
        </w:rPr>
        <w:t>Cada uno de estos modelos implica diferentes niveles de</w:t>
      </w:r>
      <w:r>
        <w:rPr>
          <w:rFonts w:ascii="Calibri" w:hAnsi="Calibri" w:cs="Calibri"/>
        </w:rPr>
        <w:t xml:space="preserve"> </w:t>
      </w:r>
      <w:r w:rsidRPr="007B1A3D">
        <w:rPr>
          <w:rFonts w:ascii="Calibri" w:hAnsi="Calibri" w:cs="Calibri"/>
        </w:rPr>
        <w:t>responsabilidad del usuario y del proveedor sobre el control interno, la</w:t>
      </w:r>
      <w:r>
        <w:rPr>
          <w:rFonts w:ascii="Calibri" w:hAnsi="Calibri" w:cs="Calibri"/>
        </w:rPr>
        <w:t xml:space="preserve"> </w:t>
      </w:r>
      <w:r w:rsidRPr="007B1A3D">
        <w:rPr>
          <w:rFonts w:ascii="Calibri" w:hAnsi="Calibri" w:cs="Calibri"/>
        </w:rPr>
        <w:t>seguridad y la configuración del servicio</w:t>
      </w:r>
      <w:r>
        <w:rPr>
          <w:rFonts w:ascii="Calibri" w:hAnsi="Calibri" w:cs="Calibri"/>
        </w:rPr>
        <w:t xml:space="preserve">. </w:t>
      </w:r>
      <w:r w:rsidR="00D26F5D" w:rsidRPr="00844BE5">
        <w:rPr>
          <w:rFonts w:ascii="Calibri" w:hAnsi="Calibri" w:cs="Calibri"/>
        </w:rPr>
        <w:t xml:space="preserve">Siguiendo el esquema de sistema de información por capas o niveles visto en la GPF-OCEX 5330, las principales diferencias de estos tres tipos de servicios cloud </w:t>
      </w:r>
      <w:r w:rsidR="00FE3561" w:rsidRPr="00844BE5">
        <w:rPr>
          <w:rFonts w:ascii="Calibri" w:hAnsi="Calibri" w:cs="Calibri"/>
        </w:rPr>
        <w:t>en cuanto a la</w:t>
      </w:r>
      <w:r>
        <w:rPr>
          <w:rFonts w:ascii="Calibri" w:hAnsi="Calibri" w:cs="Calibri"/>
        </w:rPr>
        <w:t xml:space="preserve"> responsabilidad y</w:t>
      </w:r>
      <w:r w:rsidR="00FE3561" w:rsidRPr="00844BE5">
        <w:rPr>
          <w:rFonts w:ascii="Calibri" w:hAnsi="Calibri" w:cs="Calibri"/>
        </w:rPr>
        <w:t xml:space="preserve"> capacidad de </w:t>
      </w:r>
      <w:r w:rsidR="00335944">
        <w:rPr>
          <w:rFonts w:ascii="Calibri" w:hAnsi="Calibri" w:cs="Calibri"/>
        </w:rPr>
        <w:t>supervisar cada uno de sus componentes son</w:t>
      </w:r>
      <w:r w:rsidR="00D26F5D" w:rsidRPr="00844BE5">
        <w:rPr>
          <w:rFonts w:ascii="Calibri" w:hAnsi="Calibri" w:cs="Calibri"/>
        </w:rPr>
        <w:t>:</w:t>
      </w:r>
    </w:p>
    <w:p w14:paraId="6A61FAC3" w14:textId="13CDA760" w:rsidR="00E31575" w:rsidRPr="00844BE5" w:rsidRDefault="00CB09D5" w:rsidP="0034700D">
      <w:pPr>
        <w:autoSpaceDE w:val="0"/>
        <w:autoSpaceDN w:val="0"/>
        <w:adjustRightInd w:val="0"/>
        <w:spacing w:before="120" w:after="120" w:line="240" w:lineRule="auto"/>
        <w:jc w:val="both"/>
        <w:rPr>
          <w:rFonts w:ascii="Calibri" w:hAnsi="Calibri" w:cs="Calibri"/>
        </w:rPr>
      </w:pPr>
      <w:r>
        <w:rPr>
          <w:noProof/>
          <w:lang w:eastAsia="es-ES"/>
        </w:rPr>
        <w:drawing>
          <wp:inline distT="0" distB="0" distL="0" distR="0" wp14:anchorId="50249165" wp14:editId="216E66F8">
            <wp:extent cx="5759450" cy="2286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9450" cy="2286000"/>
                    </a:xfrm>
                    <a:prstGeom prst="rect">
                      <a:avLst/>
                    </a:prstGeom>
                  </pic:spPr>
                </pic:pic>
              </a:graphicData>
            </a:graphic>
          </wp:inline>
        </w:drawing>
      </w:r>
    </w:p>
    <w:p w14:paraId="63A0F059" w14:textId="6D455256" w:rsidR="00844BE5" w:rsidRPr="00844BE5" w:rsidRDefault="00844BE5" w:rsidP="00844BE5">
      <w:pPr>
        <w:autoSpaceDE w:val="0"/>
        <w:autoSpaceDN w:val="0"/>
        <w:adjustRightInd w:val="0"/>
        <w:spacing w:before="120" w:after="0" w:line="240" w:lineRule="auto"/>
        <w:ind w:left="567"/>
        <w:jc w:val="both"/>
        <w:rPr>
          <w:rFonts w:ascii="Calibri" w:hAnsi="Calibri" w:cs="Calibri"/>
          <w:sz w:val="20"/>
          <w:szCs w:val="20"/>
        </w:rPr>
      </w:pPr>
      <w:r w:rsidRPr="00844BE5">
        <w:rPr>
          <w:rFonts w:ascii="Calibri" w:hAnsi="Calibri" w:cs="Calibri"/>
          <w:sz w:val="20"/>
          <w:szCs w:val="20"/>
        </w:rPr>
        <w:t>Fuente:</w:t>
      </w:r>
      <w:r w:rsidR="00335944">
        <w:rPr>
          <w:rFonts w:ascii="Calibri" w:hAnsi="Calibri" w:cs="Calibri"/>
          <w:sz w:val="20"/>
          <w:szCs w:val="20"/>
        </w:rPr>
        <w:t xml:space="preserve"> CSA, Cloud Audit &amp; Forensics</w:t>
      </w:r>
    </w:p>
    <w:p w14:paraId="286349EF" w14:textId="5ED135EB" w:rsidR="00C61060" w:rsidRPr="00C61060" w:rsidRDefault="00C61060" w:rsidP="00C61060">
      <w:pPr>
        <w:autoSpaceDE w:val="0"/>
        <w:autoSpaceDN w:val="0"/>
        <w:adjustRightInd w:val="0"/>
        <w:spacing w:before="120" w:after="0" w:line="240" w:lineRule="auto"/>
        <w:jc w:val="both"/>
        <w:rPr>
          <w:rFonts w:ascii="Calibri" w:hAnsi="Calibri" w:cs="Calibri"/>
        </w:rPr>
      </w:pPr>
      <w:r>
        <w:rPr>
          <w:rFonts w:ascii="Calibri" w:hAnsi="Calibri" w:cs="Calibri"/>
        </w:rPr>
        <w:t xml:space="preserve">Según </w:t>
      </w:r>
      <w:bookmarkStart w:id="1" w:name="_Hlk11151772"/>
      <w:r>
        <w:rPr>
          <w:rFonts w:ascii="Calibri" w:hAnsi="Calibri" w:cs="Calibri"/>
        </w:rPr>
        <w:t>Cloud Security Alliance</w:t>
      </w:r>
      <w:bookmarkEnd w:id="1"/>
      <w:r>
        <w:rPr>
          <w:rStyle w:val="Refdenotaalpie"/>
          <w:rFonts w:ascii="Calibri" w:hAnsi="Calibri" w:cs="Calibri"/>
        </w:rPr>
        <w:footnoteReference w:id="7"/>
      </w:r>
      <w:r>
        <w:rPr>
          <w:rFonts w:ascii="Calibri" w:hAnsi="Calibri" w:cs="Calibri"/>
        </w:rPr>
        <w:t xml:space="preserve"> </w:t>
      </w:r>
      <w:r w:rsidRPr="00C61060">
        <w:rPr>
          <w:rFonts w:ascii="Calibri" w:hAnsi="Calibri" w:cs="Calibri"/>
        </w:rPr>
        <w:t xml:space="preserve">las </w:t>
      </w:r>
      <w:r w:rsidRPr="00D105FA">
        <w:rPr>
          <w:rFonts w:ascii="Calibri" w:hAnsi="Calibri" w:cs="Calibri"/>
          <w:b/>
        </w:rPr>
        <w:t>características esenciales</w:t>
      </w:r>
      <w:r w:rsidR="00D105FA">
        <w:rPr>
          <w:rFonts w:ascii="Calibri" w:hAnsi="Calibri" w:cs="Calibri"/>
        </w:rPr>
        <w:t>, establecidas en el marco NIST</w:t>
      </w:r>
      <w:r>
        <w:rPr>
          <w:rFonts w:ascii="Calibri" w:hAnsi="Calibri" w:cs="Calibri"/>
        </w:rPr>
        <w:t xml:space="preserve">, </w:t>
      </w:r>
      <w:r w:rsidRPr="00C61060">
        <w:rPr>
          <w:rFonts w:ascii="Calibri" w:hAnsi="Calibri" w:cs="Calibri"/>
        </w:rPr>
        <w:t xml:space="preserve">que hacen que </w:t>
      </w:r>
      <w:r w:rsidRPr="007D6CDF">
        <w:rPr>
          <w:rFonts w:ascii="Calibri" w:hAnsi="Calibri" w:cs="Calibri"/>
          <w:b/>
        </w:rPr>
        <w:t>una nube sea una nube</w:t>
      </w:r>
      <w:r>
        <w:rPr>
          <w:rFonts w:ascii="Calibri" w:hAnsi="Calibri" w:cs="Calibri"/>
        </w:rPr>
        <w:t xml:space="preserve"> son: </w:t>
      </w:r>
    </w:p>
    <w:p w14:paraId="5637C294" w14:textId="7CBF2F90" w:rsidR="00D105FA" w:rsidRPr="00C61060" w:rsidRDefault="00D105FA" w:rsidP="00631D60">
      <w:pPr>
        <w:pStyle w:val="Prrafodelista"/>
        <w:numPr>
          <w:ilvl w:val="3"/>
          <w:numId w:val="1"/>
        </w:numPr>
        <w:autoSpaceDE w:val="0"/>
        <w:autoSpaceDN w:val="0"/>
        <w:adjustRightInd w:val="0"/>
        <w:spacing w:before="120" w:after="120" w:line="240" w:lineRule="auto"/>
        <w:ind w:left="284" w:hanging="284"/>
        <w:contextualSpacing w:val="0"/>
        <w:jc w:val="both"/>
        <w:rPr>
          <w:rFonts w:ascii="Calibri" w:hAnsi="Calibri" w:cs="Calibri"/>
        </w:rPr>
      </w:pPr>
      <w:r w:rsidRPr="00D105FA">
        <w:rPr>
          <w:rFonts w:ascii="Calibri" w:hAnsi="Calibri" w:cs="Calibri"/>
          <w:b/>
        </w:rPr>
        <w:t>Agregación y compartición de recursos.</w:t>
      </w:r>
      <w:r w:rsidRPr="00D105FA">
        <w:rPr>
          <w:rFonts w:ascii="Calibri" w:hAnsi="Calibri" w:cs="Calibri"/>
        </w:rPr>
        <w:t xml:space="preserve"> Los recursos del proveedor se agregan y se ponen a disposición de múltiples clientes para su compartición. La agregación incluye equipos físicos y equipos virtuales que se asignan dinámicamente bajo demanda. El cliente se independiza de la ubicación física de los recursos, aunque puede delimitar ubicaciones a un cierto nivel de abstracción (país, estado, etc</w:t>
      </w:r>
      <w:r w:rsidR="00F17A93">
        <w:rPr>
          <w:rFonts w:ascii="Calibri" w:hAnsi="Calibri" w:cs="Calibri"/>
        </w:rPr>
        <w:t>.</w:t>
      </w:r>
      <w:r w:rsidRPr="00D105FA">
        <w:rPr>
          <w:rFonts w:ascii="Calibri" w:hAnsi="Calibri" w:cs="Calibri"/>
        </w:rPr>
        <w:t>).</w:t>
      </w:r>
    </w:p>
    <w:p w14:paraId="4736D5D7" w14:textId="2FF9D32B" w:rsidR="00C61060" w:rsidRPr="00C61060" w:rsidRDefault="00D105FA" w:rsidP="00631D60">
      <w:pPr>
        <w:pStyle w:val="Prrafodelista"/>
        <w:numPr>
          <w:ilvl w:val="3"/>
          <w:numId w:val="1"/>
        </w:numPr>
        <w:autoSpaceDE w:val="0"/>
        <w:autoSpaceDN w:val="0"/>
        <w:adjustRightInd w:val="0"/>
        <w:spacing w:before="120" w:after="120" w:line="240" w:lineRule="auto"/>
        <w:ind w:left="284" w:hanging="284"/>
        <w:contextualSpacing w:val="0"/>
        <w:jc w:val="both"/>
        <w:rPr>
          <w:rFonts w:ascii="Calibri" w:hAnsi="Calibri" w:cs="Calibri"/>
        </w:rPr>
      </w:pPr>
      <w:r>
        <w:rPr>
          <w:rFonts w:ascii="Calibri" w:hAnsi="Calibri" w:cs="Calibri"/>
          <w:b/>
        </w:rPr>
        <w:t>A</w:t>
      </w:r>
      <w:r w:rsidR="00C61060" w:rsidRPr="00C61060">
        <w:rPr>
          <w:rFonts w:ascii="Calibri" w:hAnsi="Calibri" w:cs="Calibri"/>
          <w:b/>
        </w:rPr>
        <w:t>utoservicio bajo demanda</w:t>
      </w:r>
      <w:r w:rsidR="00C61060" w:rsidRPr="00C61060">
        <w:rPr>
          <w:rFonts w:ascii="Calibri" w:hAnsi="Calibri" w:cs="Calibri"/>
        </w:rPr>
        <w:t xml:space="preserve">. </w:t>
      </w:r>
      <w:r w:rsidRPr="00D105FA">
        <w:rPr>
          <w:rFonts w:ascii="Calibri" w:hAnsi="Calibri" w:cs="Calibri"/>
        </w:rPr>
        <w:t>El cliente puede ajustar la capacidad necesaria de forma unilateral, sin necesidad de involucrar al personal del proveedor.</w:t>
      </w:r>
    </w:p>
    <w:p w14:paraId="7C75934C" w14:textId="6C34CF85" w:rsidR="00C61060" w:rsidRPr="00C61060" w:rsidRDefault="00C61060" w:rsidP="00631D60">
      <w:pPr>
        <w:pStyle w:val="Prrafodelista"/>
        <w:numPr>
          <w:ilvl w:val="3"/>
          <w:numId w:val="1"/>
        </w:numPr>
        <w:autoSpaceDE w:val="0"/>
        <w:autoSpaceDN w:val="0"/>
        <w:adjustRightInd w:val="0"/>
        <w:spacing w:before="120" w:after="120" w:line="240" w:lineRule="auto"/>
        <w:ind w:left="284" w:hanging="284"/>
        <w:contextualSpacing w:val="0"/>
        <w:jc w:val="both"/>
        <w:rPr>
          <w:rFonts w:ascii="Calibri" w:hAnsi="Calibri" w:cs="Calibri"/>
        </w:rPr>
      </w:pPr>
      <w:r w:rsidRPr="00C61060">
        <w:rPr>
          <w:rFonts w:ascii="Calibri" w:hAnsi="Calibri" w:cs="Calibri"/>
        </w:rPr>
        <w:lastRenderedPageBreak/>
        <w:t xml:space="preserve">El </w:t>
      </w:r>
      <w:r w:rsidRPr="00C61060">
        <w:rPr>
          <w:rFonts w:ascii="Calibri" w:hAnsi="Calibri" w:cs="Calibri"/>
          <w:b/>
        </w:rPr>
        <w:t>amplio acceso a la red</w:t>
      </w:r>
      <w:r w:rsidRPr="00C61060">
        <w:rPr>
          <w:rFonts w:ascii="Calibri" w:hAnsi="Calibri" w:cs="Calibri"/>
        </w:rPr>
        <w:t xml:space="preserve"> significa que todos los recursos están disponibles en una red, sin necesidad del acceso físico directo; la red no es necesariamente parte del servicio.</w:t>
      </w:r>
    </w:p>
    <w:p w14:paraId="0C76308E" w14:textId="66AE74DF" w:rsidR="00C61060" w:rsidRPr="00C61060" w:rsidRDefault="00D105FA" w:rsidP="00631D60">
      <w:pPr>
        <w:pStyle w:val="Prrafodelista"/>
        <w:numPr>
          <w:ilvl w:val="3"/>
          <w:numId w:val="1"/>
        </w:numPr>
        <w:autoSpaceDE w:val="0"/>
        <w:autoSpaceDN w:val="0"/>
        <w:adjustRightInd w:val="0"/>
        <w:spacing w:before="120" w:after="120" w:line="240" w:lineRule="auto"/>
        <w:ind w:left="284" w:hanging="284"/>
        <w:contextualSpacing w:val="0"/>
        <w:jc w:val="both"/>
        <w:rPr>
          <w:rFonts w:ascii="Calibri" w:hAnsi="Calibri" w:cs="Calibri"/>
        </w:rPr>
      </w:pPr>
      <w:r>
        <w:rPr>
          <w:rFonts w:ascii="Calibri" w:hAnsi="Calibri" w:cs="Calibri"/>
        </w:rPr>
        <w:t xml:space="preserve">Adaptación inmediata. </w:t>
      </w:r>
      <w:r w:rsidR="00C61060" w:rsidRPr="00C61060">
        <w:rPr>
          <w:rFonts w:ascii="Calibri" w:hAnsi="Calibri" w:cs="Calibri"/>
        </w:rPr>
        <w:t xml:space="preserve">La </w:t>
      </w:r>
      <w:r w:rsidR="00C61060" w:rsidRPr="00C61060">
        <w:rPr>
          <w:rFonts w:ascii="Calibri" w:hAnsi="Calibri" w:cs="Calibri"/>
          <w:b/>
        </w:rPr>
        <w:t>elasticidad rápida</w:t>
      </w:r>
      <w:r w:rsidR="00C61060" w:rsidRPr="00C61060">
        <w:rPr>
          <w:rFonts w:ascii="Calibri" w:hAnsi="Calibri" w:cs="Calibri"/>
        </w:rPr>
        <w:t xml:space="preserve"> permite a los usuarios ampliar o contraer los recursos que utilizan del grupo (aprovisionamiento y desaprovisionamiento), a menudo de forma completamente automática. Esto les permite relacionar más estrechamente el consumo de recursos con la demanda (por ejemplo, agregar servidores virtuales cuando la demanda aumenta y luego apagarlos cuando baja la demanda).</w:t>
      </w:r>
      <w:r w:rsidRPr="00D105FA">
        <w:t xml:space="preserve"> </w:t>
      </w:r>
      <w:r w:rsidRPr="00D105FA">
        <w:rPr>
          <w:rFonts w:ascii="Calibri" w:hAnsi="Calibri" w:cs="Calibri"/>
        </w:rPr>
        <w:t>Desde el punto de vista del consumidor, los recursos parecen ilimitados, pudiendo disponer de cualquier volumen en cualquier momento.</w:t>
      </w:r>
    </w:p>
    <w:p w14:paraId="63487E4E" w14:textId="288D6DB4" w:rsidR="00D105FA" w:rsidRDefault="00D105FA" w:rsidP="00631D60">
      <w:pPr>
        <w:pStyle w:val="Prrafodelista"/>
        <w:numPr>
          <w:ilvl w:val="3"/>
          <w:numId w:val="1"/>
        </w:numPr>
        <w:autoSpaceDE w:val="0"/>
        <w:autoSpaceDN w:val="0"/>
        <w:adjustRightInd w:val="0"/>
        <w:spacing w:before="120" w:after="120" w:line="240" w:lineRule="auto"/>
        <w:ind w:left="284" w:hanging="284"/>
        <w:contextualSpacing w:val="0"/>
        <w:jc w:val="both"/>
        <w:rPr>
          <w:rFonts w:ascii="Calibri" w:hAnsi="Calibri" w:cs="Calibri"/>
        </w:rPr>
      </w:pPr>
      <w:r>
        <w:rPr>
          <w:rFonts w:ascii="Calibri" w:hAnsi="Calibri" w:cs="Calibri"/>
          <w:b/>
        </w:rPr>
        <w:t>S</w:t>
      </w:r>
      <w:r w:rsidRPr="00C61060">
        <w:rPr>
          <w:rFonts w:ascii="Calibri" w:hAnsi="Calibri" w:cs="Calibri"/>
          <w:b/>
        </w:rPr>
        <w:t>ervicio</w:t>
      </w:r>
      <w:r>
        <w:rPr>
          <w:rFonts w:ascii="Calibri" w:hAnsi="Calibri" w:cs="Calibri"/>
          <w:b/>
        </w:rPr>
        <w:t xml:space="preserve"> consumido</w:t>
      </w:r>
      <w:r w:rsidR="000004B8">
        <w:rPr>
          <w:rFonts w:ascii="Calibri" w:hAnsi="Calibri" w:cs="Calibri"/>
          <w:b/>
        </w:rPr>
        <w:t>.</w:t>
      </w:r>
      <w:r w:rsidRPr="00C61060">
        <w:rPr>
          <w:rFonts w:ascii="Calibri" w:hAnsi="Calibri" w:cs="Calibri"/>
        </w:rPr>
        <w:t xml:space="preserve"> </w:t>
      </w:r>
      <w:r w:rsidRPr="00D105FA">
        <w:rPr>
          <w:rFonts w:ascii="Calibri" w:hAnsi="Calibri" w:cs="Calibri"/>
        </w:rPr>
        <w:t>El proveedor puede controlar el servicio prestado efectivo en cada momento, al nivel de abstracción que se especifique por contrato; por ejemplo, capacidad de almacenamiento, capacidad de procesamiento, ancho de banda, cuentas de usuario, etc. El uso de recursos puede ser monitorizado, controlado y reportado, proporcionando una gran transparencia tanto para el proveedor como para el consumidor del servicio utilizado.</w:t>
      </w:r>
    </w:p>
    <w:p w14:paraId="0BE567E9" w14:textId="77777777" w:rsidR="00D255D1" w:rsidRDefault="004F443B" w:rsidP="00D255D1">
      <w:pPr>
        <w:autoSpaceDE w:val="0"/>
        <w:autoSpaceDN w:val="0"/>
        <w:adjustRightInd w:val="0"/>
        <w:spacing w:before="120" w:after="120" w:line="240" w:lineRule="auto"/>
        <w:jc w:val="both"/>
        <w:rPr>
          <w:rFonts w:ascii="Calibri" w:hAnsi="Calibri" w:cs="Calibri"/>
        </w:rPr>
      </w:pPr>
      <w:r>
        <w:rPr>
          <w:rFonts w:ascii="Calibri" w:hAnsi="Calibri" w:cs="Calibri"/>
        </w:rPr>
        <w:t>S</w:t>
      </w:r>
      <w:r w:rsidR="007D6CDF">
        <w:rPr>
          <w:rFonts w:ascii="Calibri" w:hAnsi="Calibri" w:cs="Calibri"/>
        </w:rPr>
        <w:t>egún la publicación de CSA citada, s</w:t>
      </w:r>
      <w:r>
        <w:rPr>
          <w:rFonts w:ascii="Calibri" w:hAnsi="Calibri" w:cs="Calibri"/>
        </w:rPr>
        <w:t>i falta alguna de estas características, probablemente no sea una nube.</w:t>
      </w:r>
    </w:p>
    <w:p w14:paraId="38CDF82C" w14:textId="6462A569" w:rsidR="00BF4CB6" w:rsidRPr="00844BE5" w:rsidRDefault="003E43C4" w:rsidP="00D255D1">
      <w:pPr>
        <w:pStyle w:val="Prrafodelista"/>
        <w:keepNext/>
        <w:numPr>
          <w:ilvl w:val="0"/>
          <w:numId w:val="4"/>
        </w:numPr>
        <w:spacing w:before="120" w:after="0" w:line="240" w:lineRule="auto"/>
        <w:ind w:left="567" w:hanging="567"/>
        <w:contextualSpacing w:val="0"/>
        <w:jc w:val="both"/>
        <w:rPr>
          <w:rFonts w:ascii="Calibri" w:hAnsi="Calibri" w:cs="Calibri"/>
          <w:b/>
        </w:rPr>
      </w:pPr>
      <w:r w:rsidRPr="00844BE5">
        <w:rPr>
          <w:rFonts w:ascii="Calibri" w:hAnsi="Calibri" w:cs="Calibri"/>
          <w:b/>
        </w:rPr>
        <w:t>R</w:t>
      </w:r>
      <w:r w:rsidR="00BF4CB6" w:rsidRPr="00844BE5">
        <w:rPr>
          <w:rFonts w:ascii="Calibri" w:hAnsi="Calibri" w:cs="Calibri"/>
          <w:b/>
        </w:rPr>
        <w:t>iesgos</w:t>
      </w:r>
      <w:r w:rsidRPr="00844BE5">
        <w:rPr>
          <w:rFonts w:ascii="Calibri" w:hAnsi="Calibri" w:cs="Calibri"/>
          <w:b/>
        </w:rPr>
        <w:t xml:space="preserve"> </w:t>
      </w:r>
      <w:r w:rsidR="00EC3808" w:rsidRPr="00844BE5">
        <w:rPr>
          <w:rFonts w:ascii="Calibri" w:hAnsi="Calibri" w:cs="Calibri"/>
          <w:b/>
        </w:rPr>
        <w:t>significativos</w:t>
      </w:r>
      <w:r w:rsidR="00335944">
        <w:rPr>
          <w:rFonts w:ascii="Calibri" w:hAnsi="Calibri" w:cs="Calibri"/>
          <w:b/>
        </w:rPr>
        <w:t xml:space="preserve"> del uso de la computación en la nube</w:t>
      </w:r>
    </w:p>
    <w:p w14:paraId="79CCD4B3" w14:textId="7CD8FADD" w:rsidR="00FB29D1" w:rsidRPr="00844BE5" w:rsidRDefault="00FB29D1" w:rsidP="00844BE5">
      <w:pPr>
        <w:spacing w:before="120" w:after="0" w:line="240" w:lineRule="auto"/>
        <w:jc w:val="both"/>
        <w:rPr>
          <w:rFonts w:ascii="Calibri" w:eastAsia="Times New Roman" w:hAnsi="Calibri" w:cs="Calibri"/>
          <w:color w:val="000000"/>
          <w:lang w:eastAsia="es-ES"/>
        </w:rPr>
      </w:pPr>
      <w:r w:rsidRPr="00844BE5">
        <w:rPr>
          <w:rFonts w:ascii="Calibri" w:eastAsia="Times New Roman" w:hAnsi="Calibri" w:cs="Calibri"/>
          <w:color w:val="000000"/>
          <w:lang w:eastAsia="es-ES"/>
        </w:rPr>
        <w:t xml:space="preserve">La adopción de servicios en la nube aporta notables ventajas, pero introduce nuevos riesgos que han de ser </w:t>
      </w:r>
      <w:r w:rsidR="00844BE5">
        <w:rPr>
          <w:rFonts w:ascii="Calibri" w:eastAsia="Times New Roman" w:hAnsi="Calibri" w:cs="Calibri"/>
          <w:color w:val="000000"/>
          <w:lang w:eastAsia="es-ES"/>
        </w:rPr>
        <w:t xml:space="preserve">identificados y </w:t>
      </w:r>
      <w:r w:rsidRPr="00844BE5">
        <w:rPr>
          <w:rFonts w:ascii="Calibri" w:eastAsia="Times New Roman" w:hAnsi="Calibri" w:cs="Calibri"/>
          <w:color w:val="000000"/>
          <w:lang w:eastAsia="es-ES"/>
        </w:rPr>
        <w:t xml:space="preserve">controlados. </w:t>
      </w:r>
      <w:r w:rsidR="00260A09" w:rsidRPr="00844BE5">
        <w:rPr>
          <w:rFonts w:ascii="Calibri" w:eastAsia="Times New Roman" w:hAnsi="Calibri" w:cs="Calibri"/>
          <w:color w:val="000000"/>
          <w:lang w:eastAsia="es-ES"/>
        </w:rPr>
        <w:t xml:space="preserve">La identificación de riesgos asociados al servicio </w:t>
      </w:r>
      <w:r w:rsidR="00F23ADB" w:rsidRPr="00844BE5">
        <w:rPr>
          <w:rFonts w:ascii="Calibri" w:eastAsia="Times New Roman" w:hAnsi="Calibri" w:cs="Calibri"/>
          <w:color w:val="000000"/>
          <w:lang w:eastAsia="es-ES"/>
        </w:rPr>
        <w:t xml:space="preserve">cloud </w:t>
      </w:r>
      <w:r w:rsidR="001709E0" w:rsidRPr="00844BE5">
        <w:rPr>
          <w:rFonts w:ascii="Calibri" w:eastAsia="Times New Roman" w:hAnsi="Calibri" w:cs="Calibri"/>
          <w:color w:val="000000"/>
          <w:lang w:eastAsia="es-ES"/>
        </w:rPr>
        <w:t>contratado</w:t>
      </w:r>
      <w:r w:rsidR="00260A09" w:rsidRPr="00844BE5">
        <w:rPr>
          <w:rFonts w:ascii="Calibri" w:eastAsia="Times New Roman" w:hAnsi="Calibri" w:cs="Calibri"/>
          <w:color w:val="000000"/>
          <w:lang w:eastAsia="es-ES"/>
        </w:rPr>
        <w:t xml:space="preserve"> es una actividad que debe desarrollar cada organización, puesto que </w:t>
      </w:r>
      <w:r w:rsidR="00335944">
        <w:rPr>
          <w:rFonts w:ascii="Calibri" w:eastAsia="Times New Roman" w:hAnsi="Calibri" w:cs="Calibri"/>
          <w:color w:val="000000"/>
          <w:lang w:eastAsia="es-ES"/>
        </w:rPr>
        <w:t>el tipo</w:t>
      </w:r>
      <w:r w:rsidR="00B174F8">
        <w:rPr>
          <w:rFonts w:ascii="Calibri" w:eastAsia="Times New Roman" w:hAnsi="Calibri" w:cs="Calibri"/>
          <w:color w:val="000000"/>
          <w:lang w:eastAsia="es-ES"/>
        </w:rPr>
        <w:t>,</w:t>
      </w:r>
      <w:r w:rsidR="00335944">
        <w:rPr>
          <w:rFonts w:ascii="Calibri" w:eastAsia="Times New Roman" w:hAnsi="Calibri" w:cs="Calibri"/>
          <w:color w:val="000000"/>
          <w:lang w:eastAsia="es-ES"/>
        </w:rPr>
        <w:t xml:space="preserve"> las</w:t>
      </w:r>
      <w:r w:rsidR="00260A09" w:rsidRPr="00844BE5">
        <w:rPr>
          <w:rFonts w:ascii="Calibri" w:eastAsia="Times New Roman" w:hAnsi="Calibri" w:cs="Calibri"/>
          <w:color w:val="000000"/>
          <w:lang w:eastAsia="es-ES"/>
        </w:rPr>
        <w:t xml:space="preserve"> características de los y </w:t>
      </w:r>
      <w:r w:rsidR="00335944">
        <w:rPr>
          <w:rFonts w:ascii="Calibri" w:eastAsia="Times New Roman" w:hAnsi="Calibri" w:cs="Calibri"/>
          <w:color w:val="000000"/>
          <w:lang w:eastAsia="es-ES"/>
        </w:rPr>
        <w:t xml:space="preserve">el </w:t>
      </w:r>
      <w:r w:rsidR="00260A09" w:rsidRPr="00844BE5">
        <w:rPr>
          <w:rFonts w:ascii="Calibri" w:eastAsia="Times New Roman" w:hAnsi="Calibri" w:cs="Calibri"/>
          <w:color w:val="000000"/>
          <w:lang w:eastAsia="es-ES"/>
        </w:rPr>
        <w:t xml:space="preserve">uso de </w:t>
      </w:r>
      <w:r w:rsidR="00B174F8">
        <w:rPr>
          <w:rFonts w:ascii="Calibri" w:eastAsia="Times New Roman" w:hAnsi="Calibri" w:cs="Calibri"/>
          <w:color w:val="000000"/>
          <w:lang w:eastAsia="es-ES"/>
        </w:rPr>
        <w:t xml:space="preserve">los servicios contratados </w:t>
      </w:r>
      <w:r w:rsidR="00260A09" w:rsidRPr="00844BE5">
        <w:rPr>
          <w:rFonts w:ascii="Calibri" w:eastAsia="Times New Roman" w:hAnsi="Calibri" w:cs="Calibri"/>
          <w:color w:val="000000"/>
          <w:lang w:eastAsia="es-ES"/>
        </w:rPr>
        <w:t>determinará en gran medida los riesgos a los que está expuest</w:t>
      </w:r>
      <w:r w:rsidR="008215FD">
        <w:rPr>
          <w:rFonts w:ascii="Calibri" w:eastAsia="Times New Roman" w:hAnsi="Calibri" w:cs="Calibri"/>
          <w:color w:val="000000"/>
          <w:lang w:eastAsia="es-ES"/>
        </w:rPr>
        <w:t>a</w:t>
      </w:r>
      <w:r w:rsidR="00260A09" w:rsidRPr="00844BE5">
        <w:rPr>
          <w:rFonts w:ascii="Calibri" w:eastAsia="Times New Roman" w:hAnsi="Calibri" w:cs="Calibri"/>
          <w:color w:val="000000"/>
          <w:lang w:eastAsia="es-ES"/>
        </w:rPr>
        <w:t xml:space="preserve">. </w:t>
      </w:r>
    </w:p>
    <w:p w14:paraId="4159140E" w14:textId="205EFBD1" w:rsidR="008A4842" w:rsidRPr="00844BE5" w:rsidRDefault="00076F77" w:rsidP="00844BE5">
      <w:pPr>
        <w:pStyle w:val="Prrafodelista"/>
        <w:spacing w:before="120" w:after="0" w:line="240" w:lineRule="auto"/>
        <w:ind w:left="0"/>
        <w:contextualSpacing w:val="0"/>
        <w:jc w:val="both"/>
        <w:rPr>
          <w:rFonts w:ascii="Calibri" w:eastAsia="Times New Roman" w:hAnsi="Calibri" w:cs="Calibri"/>
          <w:color w:val="000000"/>
          <w:lang w:eastAsia="es-ES"/>
        </w:rPr>
      </w:pPr>
      <w:r w:rsidRPr="00844BE5">
        <w:rPr>
          <w:rFonts w:ascii="Calibri" w:hAnsi="Calibri" w:cs="Calibri"/>
        </w:rPr>
        <w:t>La computación en la nube cambia las responsabilidades y los</w:t>
      </w:r>
      <w:r w:rsidRPr="00844BE5">
        <w:rPr>
          <w:rFonts w:ascii="Calibri" w:eastAsia="Times New Roman" w:hAnsi="Calibri" w:cs="Calibri"/>
          <w:color w:val="000000"/>
          <w:lang w:eastAsia="es-ES"/>
        </w:rPr>
        <w:t xml:space="preserve"> mecanismos </w:t>
      </w:r>
      <w:r w:rsidR="0034293E" w:rsidRPr="00844BE5">
        <w:rPr>
          <w:rFonts w:ascii="Calibri" w:eastAsia="Times New Roman" w:hAnsi="Calibri" w:cs="Calibri"/>
          <w:color w:val="000000"/>
          <w:lang w:eastAsia="es-ES"/>
        </w:rPr>
        <w:t xml:space="preserve">para la implementación y la gestión </w:t>
      </w:r>
      <w:r w:rsidR="00844BE5">
        <w:rPr>
          <w:rFonts w:ascii="Calibri" w:eastAsia="Times New Roman" w:hAnsi="Calibri" w:cs="Calibri"/>
          <w:color w:val="000000"/>
          <w:lang w:eastAsia="es-ES"/>
        </w:rPr>
        <w:t>de los controles</w:t>
      </w:r>
      <w:r w:rsidR="0034293E" w:rsidRPr="00844BE5">
        <w:rPr>
          <w:rFonts w:ascii="Calibri" w:eastAsia="Times New Roman" w:hAnsi="Calibri" w:cs="Calibri"/>
          <w:color w:val="000000"/>
          <w:lang w:eastAsia="es-ES"/>
        </w:rPr>
        <w:t>. Los servicios serán prestados a través de contratos y acuerdos de nivel de servicio, que deberán definir las responsabilidades y mecanismos para la gobernanza. Áreas no incluidas en el contrato pueden provocar brechas</w:t>
      </w:r>
      <w:r w:rsidR="00D41BA1">
        <w:rPr>
          <w:rFonts w:ascii="Calibri" w:eastAsia="Times New Roman" w:hAnsi="Calibri" w:cs="Calibri"/>
          <w:color w:val="000000"/>
          <w:lang w:eastAsia="es-ES"/>
        </w:rPr>
        <w:t xml:space="preserve"> de seguridad</w:t>
      </w:r>
      <w:r w:rsidR="0034293E" w:rsidRPr="00844BE5">
        <w:rPr>
          <w:rFonts w:ascii="Calibri" w:eastAsia="Times New Roman" w:hAnsi="Calibri" w:cs="Calibri"/>
          <w:color w:val="000000"/>
          <w:lang w:eastAsia="es-ES"/>
        </w:rPr>
        <w:t xml:space="preserve">, que requerirán que el cliente ajuste sus propios procesos para gestionar los riesgos asociados. </w:t>
      </w:r>
    </w:p>
    <w:p w14:paraId="34DE5755" w14:textId="7286C8F4" w:rsidR="001709E0" w:rsidRPr="00844BE5" w:rsidRDefault="001709E0" w:rsidP="00844BE5">
      <w:pPr>
        <w:pStyle w:val="Prrafodelista"/>
        <w:spacing w:before="120" w:after="0" w:line="240" w:lineRule="auto"/>
        <w:ind w:left="0"/>
        <w:contextualSpacing w:val="0"/>
        <w:jc w:val="both"/>
        <w:rPr>
          <w:rFonts w:ascii="Calibri" w:eastAsia="Times New Roman" w:hAnsi="Calibri" w:cs="Calibri"/>
          <w:color w:val="000000"/>
          <w:lang w:eastAsia="es-ES"/>
        </w:rPr>
      </w:pPr>
      <w:r w:rsidRPr="00844BE5">
        <w:rPr>
          <w:rFonts w:ascii="Calibri" w:eastAsia="Times New Roman" w:hAnsi="Calibri" w:cs="Calibri"/>
          <w:color w:val="000000"/>
          <w:lang w:eastAsia="es-ES"/>
        </w:rPr>
        <w:t xml:space="preserve">Los </w:t>
      </w:r>
      <w:r w:rsidRPr="00A44A88">
        <w:rPr>
          <w:rFonts w:ascii="Calibri" w:eastAsia="Times New Roman" w:hAnsi="Calibri" w:cs="Calibri"/>
          <w:b/>
          <w:color w:val="000000"/>
          <w:lang w:eastAsia="es-ES"/>
        </w:rPr>
        <w:t>principales riesgos</w:t>
      </w:r>
      <w:r w:rsidRPr="00844BE5">
        <w:rPr>
          <w:rFonts w:ascii="Calibri" w:eastAsia="Times New Roman" w:hAnsi="Calibri" w:cs="Calibri"/>
          <w:color w:val="000000"/>
          <w:lang w:eastAsia="es-ES"/>
        </w:rPr>
        <w:t xml:space="preserve"> derivados </w:t>
      </w:r>
      <w:r w:rsidR="00B174F8">
        <w:rPr>
          <w:rFonts w:ascii="Calibri" w:eastAsia="Times New Roman" w:hAnsi="Calibri" w:cs="Calibri"/>
          <w:color w:val="000000"/>
          <w:lang w:eastAsia="es-ES"/>
        </w:rPr>
        <w:t xml:space="preserve">o acentuados por </w:t>
      </w:r>
      <w:r w:rsidRPr="00844BE5">
        <w:rPr>
          <w:rFonts w:ascii="Calibri" w:eastAsia="Times New Roman" w:hAnsi="Calibri" w:cs="Calibri"/>
          <w:color w:val="000000"/>
          <w:lang w:eastAsia="es-ES"/>
        </w:rPr>
        <w:t>el uso de soluciones cloud que pueden destacarse son:</w:t>
      </w:r>
    </w:p>
    <w:p w14:paraId="578A4486" w14:textId="77777777" w:rsidR="00D41BA1" w:rsidRPr="00A44A88" w:rsidRDefault="00D41BA1" w:rsidP="00D41BA1">
      <w:pPr>
        <w:autoSpaceDE w:val="0"/>
        <w:autoSpaceDN w:val="0"/>
        <w:adjustRightInd w:val="0"/>
        <w:spacing w:before="120" w:after="0" w:line="240" w:lineRule="auto"/>
        <w:rPr>
          <w:rFonts w:cstheme="minorHAnsi"/>
          <w:i/>
        </w:rPr>
      </w:pPr>
      <w:r w:rsidRPr="00A44A88">
        <w:rPr>
          <w:rFonts w:cstheme="minorHAnsi"/>
          <w:i/>
        </w:rPr>
        <w:t>Pérdida de gobernanza</w:t>
      </w:r>
    </w:p>
    <w:p w14:paraId="4E8AB91A" w14:textId="00265E90" w:rsidR="00F950FC" w:rsidRDefault="00F950FC" w:rsidP="00D41BA1">
      <w:pPr>
        <w:pStyle w:val="Prrafodelista"/>
        <w:autoSpaceDE w:val="0"/>
        <w:autoSpaceDN w:val="0"/>
        <w:adjustRightInd w:val="0"/>
        <w:spacing w:before="120" w:after="0" w:line="240" w:lineRule="auto"/>
        <w:ind w:left="567"/>
        <w:contextualSpacing w:val="0"/>
        <w:jc w:val="both"/>
        <w:rPr>
          <w:rFonts w:ascii="Calibri" w:hAnsi="Calibri" w:cs="Calibri"/>
        </w:rPr>
      </w:pPr>
      <w:r>
        <w:rPr>
          <w:rFonts w:ascii="Calibri" w:hAnsi="Calibri" w:cs="Calibri"/>
        </w:rPr>
        <w:t>El uso de un entorno cloud conlleva la transferencia de algunas de las tareas de gestión de riesgos al CSP y, por tanto, existen responsabilidades compartidas. Si éstas no son bien gestionadas, pueden existir lagunas de responsabilidad que deriven en brechas de seguridad.</w:t>
      </w:r>
    </w:p>
    <w:p w14:paraId="5B066924" w14:textId="34CFABDB" w:rsidR="00F950FC" w:rsidRDefault="00F950FC" w:rsidP="00D41BA1">
      <w:pPr>
        <w:pStyle w:val="Prrafodelista"/>
        <w:autoSpaceDE w:val="0"/>
        <w:autoSpaceDN w:val="0"/>
        <w:adjustRightInd w:val="0"/>
        <w:spacing w:before="120" w:after="0" w:line="240" w:lineRule="auto"/>
        <w:ind w:left="567"/>
        <w:contextualSpacing w:val="0"/>
        <w:jc w:val="both"/>
        <w:rPr>
          <w:rFonts w:ascii="Calibri" w:hAnsi="Calibri" w:cs="Calibri"/>
        </w:rPr>
      </w:pPr>
      <w:r>
        <w:rPr>
          <w:rFonts w:ascii="Calibri" w:hAnsi="Calibri" w:cs="Calibri"/>
        </w:rPr>
        <w:t>Por tanto, la entidad debe tener reguladas todas las responsabilidades y cuestiones que afecten a la seguridad de la nube, y todo ello debe estar adecuadamente recogido en los acuerdos de nivel de servicio y en cláusulas adhoc en los pliegos y en el contrato.</w:t>
      </w:r>
      <w:r w:rsidR="008D77EC">
        <w:rPr>
          <w:rFonts w:ascii="Calibri" w:hAnsi="Calibri" w:cs="Calibri"/>
        </w:rPr>
        <w:t xml:space="preserve"> En este sentido, aclarar que la responsabilidad final sobre los datos sigue siendo de la entidad.</w:t>
      </w:r>
    </w:p>
    <w:p w14:paraId="4925D1AB" w14:textId="77777777" w:rsidR="00F950FC" w:rsidRPr="00A44A88" w:rsidRDefault="00F950FC" w:rsidP="00F950FC">
      <w:pPr>
        <w:autoSpaceDE w:val="0"/>
        <w:autoSpaceDN w:val="0"/>
        <w:adjustRightInd w:val="0"/>
        <w:spacing w:before="120" w:after="0" w:line="240" w:lineRule="auto"/>
        <w:rPr>
          <w:rFonts w:cstheme="minorHAnsi"/>
          <w:i/>
        </w:rPr>
      </w:pPr>
      <w:bookmarkStart w:id="2" w:name="_Hlk11320216"/>
      <w:r w:rsidRPr="00A44A88">
        <w:rPr>
          <w:rFonts w:cstheme="minorHAnsi"/>
          <w:i/>
        </w:rPr>
        <w:t>Riesgos legales</w:t>
      </w:r>
    </w:p>
    <w:bookmarkEnd w:id="2"/>
    <w:p w14:paraId="4AE96550" w14:textId="5D7CD9E6" w:rsidR="00F950FC" w:rsidRPr="00844BE5" w:rsidRDefault="00F950FC" w:rsidP="00F950FC">
      <w:pPr>
        <w:pStyle w:val="Prrafodelista"/>
        <w:spacing w:before="120" w:after="0" w:line="240" w:lineRule="auto"/>
        <w:ind w:left="567"/>
        <w:contextualSpacing w:val="0"/>
        <w:jc w:val="both"/>
        <w:rPr>
          <w:rFonts w:ascii="Calibri" w:eastAsia="Times New Roman" w:hAnsi="Calibri" w:cs="Calibri"/>
          <w:color w:val="000000"/>
          <w:lang w:eastAsia="es-ES"/>
        </w:rPr>
      </w:pPr>
      <w:r>
        <w:rPr>
          <w:rFonts w:ascii="Calibri" w:eastAsia="Times New Roman" w:hAnsi="Calibri" w:cs="Calibri"/>
          <w:color w:val="000000"/>
          <w:lang w:eastAsia="es-ES"/>
        </w:rPr>
        <w:t xml:space="preserve">Al contratar servicios en la nube es responsabilidad del </w:t>
      </w:r>
      <w:r w:rsidR="00B01A17">
        <w:rPr>
          <w:rFonts w:ascii="Calibri" w:eastAsia="Times New Roman" w:hAnsi="Calibri" w:cs="Calibri"/>
          <w:color w:val="000000"/>
          <w:lang w:eastAsia="es-ES"/>
        </w:rPr>
        <w:t>cliente</w:t>
      </w:r>
      <w:r>
        <w:rPr>
          <w:rFonts w:ascii="Calibri" w:eastAsia="Times New Roman" w:hAnsi="Calibri" w:cs="Calibri"/>
          <w:color w:val="000000"/>
          <w:lang w:eastAsia="es-ES"/>
        </w:rPr>
        <w:t xml:space="preserve"> el garantizar que el proveedor del servicio cumple con la legislación vigente. </w:t>
      </w:r>
    </w:p>
    <w:p w14:paraId="76E07FE2" w14:textId="107AED51" w:rsidR="00F950FC" w:rsidRDefault="00F950FC" w:rsidP="00F950FC">
      <w:pPr>
        <w:pStyle w:val="Prrafodelista"/>
        <w:spacing w:before="120" w:after="0" w:line="240" w:lineRule="auto"/>
        <w:ind w:left="567"/>
        <w:contextualSpacing w:val="0"/>
        <w:jc w:val="both"/>
        <w:rPr>
          <w:rFonts w:ascii="Calibri" w:eastAsia="Times New Roman" w:hAnsi="Calibri" w:cs="Calibri"/>
          <w:color w:val="000000"/>
          <w:lang w:eastAsia="es-ES"/>
        </w:rPr>
      </w:pPr>
      <w:r w:rsidRPr="00844BE5">
        <w:rPr>
          <w:rFonts w:ascii="Calibri" w:eastAsia="Times New Roman" w:hAnsi="Calibri" w:cs="Calibri"/>
          <w:color w:val="000000"/>
          <w:lang w:eastAsia="es-ES"/>
        </w:rPr>
        <w:t xml:space="preserve">Si por cumplimiento regulatorio o legal se exigen una serie de controles a distintos niveles, que un determinado modelo de servicio no garantiza, </w:t>
      </w:r>
      <w:r>
        <w:rPr>
          <w:rFonts w:ascii="Calibri" w:eastAsia="Times New Roman" w:hAnsi="Calibri" w:cs="Calibri"/>
          <w:color w:val="000000"/>
          <w:lang w:eastAsia="es-ES"/>
        </w:rPr>
        <w:t>es responsabilidad del cliente</w:t>
      </w:r>
      <w:r w:rsidRPr="00844BE5">
        <w:rPr>
          <w:rFonts w:ascii="Calibri" w:eastAsia="Times New Roman" w:hAnsi="Calibri" w:cs="Calibri"/>
          <w:color w:val="000000"/>
          <w:lang w:eastAsia="es-ES"/>
        </w:rPr>
        <w:t xml:space="preserve"> tomar la decisión más adecuada sobre el modelo de servicio elegido, el proveedor más apropiado e incluso</w:t>
      </w:r>
      <w:r>
        <w:rPr>
          <w:rFonts w:ascii="Calibri" w:eastAsia="Times New Roman" w:hAnsi="Calibri" w:cs="Calibri"/>
          <w:color w:val="000000"/>
          <w:lang w:eastAsia="es-ES"/>
        </w:rPr>
        <w:t>,</w:t>
      </w:r>
      <w:r w:rsidRPr="00844BE5">
        <w:rPr>
          <w:rFonts w:ascii="Calibri" w:eastAsia="Times New Roman" w:hAnsi="Calibri" w:cs="Calibri"/>
          <w:color w:val="000000"/>
          <w:lang w:eastAsia="es-ES"/>
        </w:rPr>
        <w:t xml:space="preserve"> en última instancia, la decisión de migrar o no cierta información a la nube.</w:t>
      </w:r>
    </w:p>
    <w:p w14:paraId="7B9F9938" w14:textId="0082A90A" w:rsidR="00B01A17" w:rsidRDefault="00337264" w:rsidP="00B01A17">
      <w:pPr>
        <w:pStyle w:val="Prrafodelista"/>
        <w:spacing w:before="120" w:after="0" w:line="240" w:lineRule="auto"/>
        <w:ind w:left="567"/>
        <w:contextualSpacing w:val="0"/>
        <w:jc w:val="both"/>
        <w:rPr>
          <w:rFonts w:ascii="Calibri" w:eastAsia="Times New Roman" w:hAnsi="Calibri" w:cs="Calibri"/>
          <w:color w:val="000000"/>
          <w:lang w:eastAsia="es-ES"/>
        </w:rPr>
      </w:pPr>
      <w:r>
        <w:rPr>
          <w:rFonts w:ascii="Calibri" w:eastAsia="Times New Roman" w:hAnsi="Calibri" w:cs="Calibri"/>
          <w:color w:val="000000"/>
          <w:lang w:eastAsia="es-ES"/>
        </w:rPr>
        <w:lastRenderedPageBreak/>
        <w:t>En la revisión de servicios cloud por parte de los OCEX s</w:t>
      </w:r>
      <w:r w:rsidR="00B01A17" w:rsidRPr="00844BE5">
        <w:rPr>
          <w:rFonts w:ascii="Calibri" w:eastAsia="Times New Roman" w:hAnsi="Calibri" w:cs="Calibri"/>
          <w:color w:val="000000"/>
          <w:lang w:eastAsia="es-ES"/>
        </w:rPr>
        <w:t xml:space="preserve">e prestará siempre atención a la normativa vigente, en especial al </w:t>
      </w:r>
      <w:r w:rsidR="00B01A17">
        <w:rPr>
          <w:rFonts w:ascii="Calibri" w:eastAsia="Times New Roman" w:hAnsi="Calibri" w:cs="Calibri"/>
          <w:color w:val="000000"/>
          <w:lang w:eastAsia="es-ES"/>
        </w:rPr>
        <w:t xml:space="preserve">cumplimiento con el </w:t>
      </w:r>
      <w:r w:rsidR="00B01A17" w:rsidRPr="00844BE5">
        <w:rPr>
          <w:rFonts w:ascii="Calibri" w:eastAsia="Times New Roman" w:hAnsi="Calibri" w:cs="Calibri"/>
          <w:color w:val="000000"/>
          <w:lang w:eastAsia="es-ES"/>
        </w:rPr>
        <w:t>ENS</w:t>
      </w:r>
      <w:r w:rsidR="00B01A17">
        <w:rPr>
          <w:rFonts w:ascii="Calibri" w:eastAsia="Times New Roman" w:hAnsi="Calibri" w:cs="Calibri"/>
          <w:color w:val="000000"/>
          <w:lang w:eastAsia="es-ES"/>
        </w:rPr>
        <w:t>, ENI</w:t>
      </w:r>
      <w:r w:rsidR="00B01A17">
        <w:rPr>
          <w:rStyle w:val="Refdenotaalpie"/>
          <w:rFonts w:ascii="Calibri" w:eastAsia="Times New Roman" w:hAnsi="Calibri" w:cs="Calibri"/>
          <w:color w:val="000000"/>
          <w:lang w:eastAsia="es-ES"/>
        </w:rPr>
        <w:footnoteReference w:id="8"/>
      </w:r>
      <w:r w:rsidR="00B01A17">
        <w:rPr>
          <w:rFonts w:ascii="Calibri" w:eastAsia="Times New Roman" w:hAnsi="Calibri" w:cs="Calibri"/>
          <w:color w:val="000000"/>
          <w:lang w:eastAsia="es-ES"/>
        </w:rPr>
        <w:t>, LOPDP</w:t>
      </w:r>
      <w:r>
        <w:rPr>
          <w:rFonts w:ascii="Calibri" w:eastAsia="Times New Roman" w:hAnsi="Calibri" w:cs="Calibri"/>
          <w:color w:val="000000"/>
          <w:lang w:eastAsia="es-ES"/>
        </w:rPr>
        <w:t xml:space="preserve"> y GDD</w:t>
      </w:r>
      <w:r>
        <w:rPr>
          <w:rStyle w:val="Refdenotaalpie"/>
          <w:rFonts w:ascii="Calibri" w:eastAsia="Times New Roman" w:hAnsi="Calibri" w:cs="Calibri"/>
          <w:color w:val="000000"/>
          <w:lang w:eastAsia="es-ES"/>
        </w:rPr>
        <w:footnoteReference w:id="9"/>
      </w:r>
      <w:r w:rsidR="00B01A17" w:rsidRPr="00844BE5">
        <w:rPr>
          <w:rFonts w:ascii="Calibri" w:eastAsia="Times New Roman" w:hAnsi="Calibri" w:cs="Calibri"/>
          <w:color w:val="000000"/>
          <w:lang w:eastAsia="es-ES"/>
        </w:rPr>
        <w:t xml:space="preserve"> y </w:t>
      </w:r>
      <w:r w:rsidR="00B01A17">
        <w:rPr>
          <w:rFonts w:ascii="Calibri" w:eastAsia="Times New Roman" w:hAnsi="Calibri" w:cs="Calibri"/>
          <w:color w:val="000000"/>
          <w:lang w:eastAsia="es-ES"/>
        </w:rPr>
        <w:t xml:space="preserve">el </w:t>
      </w:r>
      <w:r w:rsidR="00B01A17" w:rsidRPr="00844BE5">
        <w:rPr>
          <w:rFonts w:ascii="Calibri" w:eastAsia="Times New Roman" w:hAnsi="Calibri" w:cs="Calibri"/>
          <w:color w:val="000000"/>
          <w:lang w:eastAsia="es-ES"/>
        </w:rPr>
        <w:t>RGPD</w:t>
      </w:r>
      <w:r>
        <w:rPr>
          <w:rStyle w:val="Refdenotaalpie"/>
          <w:rFonts w:ascii="Calibri" w:eastAsia="Times New Roman" w:hAnsi="Calibri" w:cs="Calibri"/>
          <w:color w:val="000000"/>
          <w:lang w:eastAsia="es-ES"/>
        </w:rPr>
        <w:footnoteReference w:id="10"/>
      </w:r>
      <w:r w:rsidR="00B01A17" w:rsidRPr="00844BE5">
        <w:rPr>
          <w:rFonts w:ascii="Calibri" w:eastAsia="Times New Roman" w:hAnsi="Calibri" w:cs="Calibri"/>
          <w:color w:val="000000"/>
          <w:lang w:eastAsia="es-ES"/>
        </w:rPr>
        <w:t>.</w:t>
      </w:r>
      <w:r w:rsidR="00B01A17">
        <w:rPr>
          <w:rFonts w:ascii="Calibri" w:eastAsia="Times New Roman" w:hAnsi="Calibri" w:cs="Calibri"/>
          <w:color w:val="000000"/>
          <w:lang w:eastAsia="es-ES"/>
        </w:rPr>
        <w:t xml:space="preserve"> </w:t>
      </w:r>
    </w:p>
    <w:p w14:paraId="0BB74266" w14:textId="1CAF79A8" w:rsidR="00B01A17" w:rsidRDefault="00337264" w:rsidP="00B01A17">
      <w:pPr>
        <w:pStyle w:val="Prrafodelista"/>
        <w:spacing w:before="120" w:after="0" w:line="240" w:lineRule="auto"/>
        <w:ind w:left="567"/>
        <w:contextualSpacing w:val="0"/>
        <w:jc w:val="both"/>
        <w:rPr>
          <w:rFonts w:ascii="Calibri" w:eastAsia="Times New Roman" w:hAnsi="Calibri" w:cs="Calibri"/>
          <w:color w:val="000000"/>
          <w:lang w:eastAsia="es-ES"/>
        </w:rPr>
      </w:pPr>
      <w:r>
        <w:rPr>
          <w:rFonts w:ascii="Calibri" w:eastAsia="Times New Roman" w:hAnsi="Calibri" w:cs="Calibri"/>
          <w:color w:val="000000"/>
          <w:lang w:eastAsia="es-ES"/>
        </w:rPr>
        <w:t>N</w:t>
      </w:r>
      <w:r w:rsidR="00B01A17">
        <w:rPr>
          <w:rFonts w:ascii="Calibri" w:eastAsia="Times New Roman" w:hAnsi="Calibri" w:cs="Calibri"/>
          <w:color w:val="000000"/>
          <w:lang w:eastAsia="es-ES"/>
        </w:rPr>
        <w:t xml:space="preserve">ormalmente </w:t>
      </w:r>
      <w:r w:rsidR="00B01A17" w:rsidRPr="00047A2B">
        <w:rPr>
          <w:rFonts w:ascii="Calibri" w:eastAsia="Times New Roman" w:hAnsi="Calibri" w:cs="Calibri"/>
          <w:color w:val="000000"/>
          <w:lang w:eastAsia="es-ES"/>
        </w:rPr>
        <w:t xml:space="preserve">un CSP </w:t>
      </w:r>
      <w:r w:rsidR="00B01A17">
        <w:rPr>
          <w:rFonts w:ascii="Calibri" w:eastAsia="Times New Roman" w:hAnsi="Calibri" w:cs="Calibri"/>
          <w:color w:val="000000"/>
          <w:lang w:eastAsia="es-ES"/>
        </w:rPr>
        <w:t>se convertirá en un</w:t>
      </w:r>
      <w:r w:rsidR="00B01A17" w:rsidRPr="00047A2B">
        <w:rPr>
          <w:rFonts w:ascii="Calibri" w:eastAsia="Times New Roman" w:hAnsi="Calibri" w:cs="Calibri"/>
          <w:color w:val="000000"/>
          <w:lang w:eastAsia="es-ES"/>
        </w:rPr>
        <w:t xml:space="preserve"> encargado </w:t>
      </w:r>
      <w:r w:rsidR="00B01A17">
        <w:rPr>
          <w:rFonts w:ascii="Calibri" w:eastAsia="Times New Roman" w:hAnsi="Calibri" w:cs="Calibri"/>
          <w:color w:val="000000"/>
          <w:lang w:eastAsia="es-ES"/>
        </w:rPr>
        <w:t xml:space="preserve">del tratamiento </w:t>
      </w:r>
      <w:r w:rsidR="00B01A17" w:rsidRPr="00047A2B">
        <w:rPr>
          <w:rFonts w:ascii="Calibri" w:eastAsia="Times New Roman" w:hAnsi="Calibri" w:cs="Calibri"/>
          <w:color w:val="000000"/>
          <w:lang w:eastAsia="es-ES"/>
        </w:rPr>
        <w:t>respecto a los d</w:t>
      </w:r>
      <w:r w:rsidR="00B01A17">
        <w:rPr>
          <w:rFonts w:ascii="Calibri" w:eastAsia="Times New Roman" w:hAnsi="Calibri" w:cs="Calibri"/>
          <w:color w:val="000000"/>
          <w:lang w:eastAsia="es-ES"/>
        </w:rPr>
        <w:t>atos personales</w:t>
      </w:r>
      <w:r w:rsidR="00B01A17" w:rsidRPr="00047A2B">
        <w:rPr>
          <w:rFonts w:ascii="Calibri" w:eastAsia="Times New Roman" w:hAnsi="Calibri" w:cs="Calibri"/>
          <w:color w:val="000000"/>
          <w:lang w:eastAsia="es-ES"/>
        </w:rPr>
        <w:t xml:space="preserve"> del cliente. La DA 1ª de la LOPD</w:t>
      </w:r>
      <w:r w:rsidR="00B01A17">
        <w:rPr>
          <w:rFonts w:ascii="Calibri" w:eastAsia="Times New Roman" w:hAnsi="Calibri" w:cs="Calibri"/>
          <w:color w:val="000000"/>
          <w:lang w:eastAsia="es-ES"/>
        </w:rPr>
        <w:t>P</w:t>
      </w:r>
      <w:r w:rsidR="00B01A17" w:rsidRPr="00047A2B">
        <w:rPr>
          <w:rFonts w:ascii="Calibri" w:eastAsia="Times New Roman" w:hAnsi="Calibri" w:cs="Calibri"/>
          <w:color w:val="000000"/>
          <w:lang w:eastAsia="es-ES"/>
        </w:rPr>
        <w:t xml:space="preserve"> y </w:t>
      </w:r>
      <w:r w:rsidR="00B01A17">
        <w:rPr>
          <w:rFonts w:ascii="Calibri" w:eastAsia="Times New Roman" w:hAnsi="Calibri" w:cs="Calibri"/>
          <w:color w:val="000000"/>
          <w:lang w:eastAsia="es-ES"/>
        </w:rPr>
        <w:t>G</w:t>
      </w:r>
      <w:r w:rsidR="00B01A17" w:rsidRPr="00047A2B">
        <w:rPr>
          <w:rFonts w:ascii="Calibri" w:eastAsia="Times New Roman" w:hAnsi="Calibri" w:cs="Calibri"/>
          <w:color w:val="000000"/>
          <w:lang w:eastAsia="es-ES"/>
        </w:rPr>
        <w:t>DD oblig</w:t>
      </w:r>
      <w:r w:rsidR="00B01A17">
        <w:rPr>
          <w:rFonts w:ascii="Calibri" w:eastAsia="Times New Roman" w:hAnsi="Calibri" w:cs="Calibri"/>
          <w:color w:val="000000"/>
          <w:lang w:eastAsia="es-ES"/>
        </w:rPr>
        <w:t>a a aplicar las medidas del ENS: “</w:t>
      </w:r>
      <w:r w:rsidR="00B01A17" w:rsidRPr="00AE289D">
        <w:rPr>
          <w:rFonts w:ascii="Calibri" w:eastAsia="Times New Roman" w:hAnsi="Calibri" w:cs="Calibri"/>
          <w:i/>
          <w:color w:val="000000"/>
          <w:lang w:eastAsia="es-ES"/>
        </w:rPr>
        <w:t>En los casos en que un tercero preste un servicio en régimen de concesión, encomienda de gestión o contrato, las medidas de seguridad se corresponderán con las de la Administración Pública de origen y se ajustarán al ENS</w:t>
      </w:r>
      <w:r w:rsidR="00B01A17">
        <w:rPr>
          <w:rFonts w:ascii="Calibri" w:eastAsia="Times New Roman" w:hAnsi="Calibri" w:cs="Calibri"/>
          <w:color w:val="000000"/>
          <w:lang w:eastAsia="es-ES"/>
        </w:rPr>
        <w:t>”.</w:t>
      </w:r>
    </w:p>
    <w:p w14:paraId="004ACBCB" w14:textId="28DDEC9C" w:rsidR="00B01A17" w:rsidRDefault="00337264" w:rsidP="00F950FC">
      <w:pPr>
        <w:pStyle w:val="Prrafodelista"/>
        <w:spacing w:before="120" w:after="0" w:line="240" w:lineRule="auto"/>
        <w:ind w:left="567"/>
        <w:contextualSpacing w:val="0"/>
        <w:jc w:val="both"/>
        <w:rPr>
          <w:rFonts w:ascii="Calibri" w:eastAsia="Times New Roman" w:hAnsi="Calibri" w:cs="Calibri"/>
          <w:color w:val="000000"/>
          <w:lang w:eastAsia="es-ES"/>
        </w:rPr>
      </w:pPr>
      <w:r>
        <w:rPr>
          <w:rFonts w:ascii="Calibri" w:eastAsia="Times New Roman" w:hAnsi="Calibri" w:cs="Calibri"/>
          <w:color w:val="000000"/>
          <w:lang w:eastAsia="es-ES"/>
        </w:rPr>
        <w:t xml:space="preserve">El cumplimiento de las leyes y normativas citadas anteriormente, así como el cumplimiento respecto a estándares de seguridad de la información por parte de los proveedores de servicio suele acreditarse mediante informes de auditoría externa y certificaciones de seguridad, que podrán servir </w:t>
      </w:r>
      <w:r w:rsidRPr="00844BE5">
        <w:rPr>
          <w:rFonts w:ascii="Calibri" w:eastAsia="Times New Roman" w:hAnsi="Calibri" w:cs="Calibri"/>
          <w:color w:val="000000"/>
          <w:lang w:eastAsia="es-ES"/>
        </w:rPr>
        <w:t>para complementar los trabajos de auditoría.</w:t>
      </w:r>
    </w:p>
    <w:p w14:paraId="7863B0CA" w14:textId="71DCE65B" w:rsidR="001043E1" w:rsidRPr="00A44A88" w:rsidRDefault="001043E1" w:rsidP="001043E1">
      <w:pPr>
        <w:autoSpaceDE w:val="0"/>
        <w:autoSpaceDN w:val="0"/>
        <w:adjustRightInd w:val="0"/>
        <w:spacing w:before="120" w:after="0" w:line="240" w:lineRule="auto"/>
        <w:rPr>
          <w:rFonts w:cstheme="minorHAnsi"/>
          <w:i/>
        </w:rPr>
      </w:pPr>
      <w:bookmarkStart w:id="3" w:name="_Hlk11320273"/>
      <w:r w:rsidRPr="00A44A88">
        <w:rPr>
          <w:rFonts w:cstheme="minorHAnsi"/>
          <w:i/>
        </w:rPr>
        <w:t>Brechas/Fuga de datos</w:t>
      </w:r>
    </w:p>
    <w:bookmarkEnd w:id="3"/>
    <w:p w14:paraId="2382287A" w14:textId="77777777" w:rsidR="001043E1" w:rsidRPr="00844BE5" w:rsidRDefault="001043E1" w:rsidP="001043E1">
      <w:pPr>
        <w:pStyle w:val="Prrafodelista"/>
        <w:autoSpaceDE w:val="0"/>
        <w:autoSpaceDN w:val="0"/>
        <w:adjustRightInd w:val="0"/>
        <w:spacing w:before="120" w:after="0" w:line="240" w:lineRule="auto"/>
        <w:ind w:left="567"/>
        <w:contextualSpacing w:val="0"/>
        <w:jc w:val="both"/>
        <w:rPr>
          <w:rFonts w:ascii="Calibri" w:hAnsi="Calibri" w:cs="Calibri"/>
        </w:rPr>
      </w:pPr>
      <w:r w:rsidRPr="00844BE5">
        <w:rPr>
          <w:rFonts w:ascii="Calibri" w:hAnsi="Calibri" w:cs="Calibri"/>
        </w:rPr>
        <w:t xml:space="preserve">Al igual que los entornos tradicionales, las tecnologías cloud pueden verse afectadas por las amenazas clásicas presentes en aplicaciones, sistemas y redes. </w:t>
      </w:r>
      <w:r>
        <w:rPr>
          <w:rFonts w:ascii="Calibri" w:hAnsi="Calibri" w:cs="Calibri"/>
        </w:rPr>
        <w:t>Sin embargo, la superficie de exposición en un servicio cloud es mayor (ya que dicho servicio es utilizado por varias organizaciones y, además, en el caso de nube pública, está accesible desde Internet) y el impacto, en el caso de que exista un alto volumen de datos</w:t>
      </w:r>
      <w:r w:rsidRPr="00844BE5">
        <w:rPr>
          <w:rFonts w:ascii="Calibri" w:hAnsi="Calibri" w:cs="Calibri"/>
        </w:rPr>
        <w:t>.</w:t>
      </w:r>
    </w:p>
    <w:p w14:paraId="535783CC" w14:textId="77777777" w:rsidR="001043E1" w:rsidRPr="00844BE5" w:rsidRDefault="001043E1" w:rsidP="001043E1">
      <w:pPr>
        <w:pStyle w:val="Prrafodelista"/>
        <w:autoSpaceDE w:val="0"/>
        <w:autoSpaceDN w:val="0"/>
        <w:adjustRightInd w:val="0"/>
        <w:spacing w:before="120" w:after="0" w:line="240" w:lineRule="auto"/>
        <w:ind w:left="567"/>
        <w:contextualSpacing w:val="0"/>
        <w:jc w:val="both"/>
        <w:rPr>
          <w:rFonts w:ascii="Calibri" w:hAnsi="Calibri" w:cs="Calibri"/>
        </w:rPr>
      </w:pPr>
      <w:r w:rsidRPr="00844BE5">
        <w:rPr>
          <w:rFonts w:ascii="Calibri" w:hAnsi="Calibri" w:cs="Calibri"/>
        </w:rPr>
        <w:t>El nivel de impacto vendría dado por el carácter</w:t>
      </w:r>
      <w:r>
        <w:rPr>
          <w:rFonts w:ascii="Calibri" w:hAnsi="Calibri" w:cs="Calibri"/>
        </w:rPr>
        <w:t xml:space="preserve"> y </w:t>
      </w:r>
      <w:r w:rsidRPr="00844BE5">
        <w:rPr>
          <w:rFonts w:ascii="Calibri" w:hAnsi="Calibri" w:cs="Calibri"/>
        </w:rPr>
        <w:t>sensibilidad de los datos expuestos</w:t>
      </w:r>
      <w:r>
        <w:rPr>
          <w:rFonts w:ascii="Calibri" w:hAnsi="Calibri" w:cs="Calibri"/>
        </w:rPr>
        <w:t xml:space="preserve"> -piénsese </w:t>
      </w:r>
      <w:r w:rsidRPr="00844BE5">
        <w:rPr>
          <w:rFonts w:ascii="Calibri" w:hAnsi="Calibri" w:cs="Calibri"/>
        </w:rPr>
        <w:t>como ejemplo aquellos relacionados con la salud</w:t>
      </w:r>
      <w:r>
        <w:rPr>
          <w:rFonts w:ascii="Calibri" w:hAnsi="Calibri" w:cs="Calibri"/>
        </w:rPr>
        <w:t>- así como por el volumen de los datos afectados por la brecha que, en ciertos servicios en cloud, suele ser alto (entornos cloud para uso de big data)</w:t>
      </w:r>
      <w:r w:rsidRPr="00844BE5">
        <w:rPr>
          <w:rFonts w:ascii="Calibri" w:hAnsi="Calibri" w:cs="Calibri"/>
        </w:rPr>
        <w:t>.</w:t>
      </w:r>
    </w:p>
    <w:p w14:paraId="6F4BB912" w14:textId="77777777" w:rsidR="00337264" w:rsidRPr="00A44A88" w:rsidRDefault="00337264" w:rsidP="00337264">
      <w:pPr>
        <w:autoSpaceDE w:val="0"/>
        <w:autoSpaceDN w:val="0"/>
        <w:adjustRightInd w:val="0"/>
        <w:spacing w:before="120" w:after="0" w:line="240" w:lineRule="auto"/>
        <w:rPr>
          <w:rFonts w:cstheme="minorHAnsi"/>
          <w:i/>
        </w:rPr>
      </w:pPr>
      <w:r w:rsidRPr="00A44A88">
        <w:rPr>
          <w:rFonts w:cstheme="minorHAnsi"/>
          <w:i/>
        </w:rPr>
        <w:t xml:space="preserve">Dependencia </w:t>
      </w:r>
      <w:r>
        <w:rPr>
          <w:rFonts w:cstheme="minorHAnsi"/>
          <w:i/>
        </w:rPr>
        <w:t>d</w:t>
      </w:r>
      <w:r w:rsidRPr="00A44A88">
        <w:rPr>
          <w:rFonts w:cstheme="minorHAnsi"/>
          <w:i/>
        </w:rPr>
        <w:t>el proveedor</w:t>
      </w:r>
    </w:p>
    <w:p w14:paraId="4707DDC7" w14:textId="2DA10E17" w:rsidR="00337264" w:rsidRDefault="00337264" w:rsidP="00337264">
      <w:pPr>
        <w:pStyle w:val="Prrafodelista"/>
        <w:autoSpaceDE w:val="0"/>
        <w:autoSpaceDN w:val="0"/>
        <w:adjustRightInd w:val="0"/>
        <w:spacing w:before="120" w:after="0" w:line="240" w:lineRule="auto"/>
        <w:ind w:left="567"/>
        <w:contextualSpacing w:val="0"/>
        <w:jc w:val="both"/>
        <w:rPr>
          <w:rFonts w:ascii="Calibri" w:hAnsi="Calibri" w:cs="Calibri"/>
        </w:rPr>
      </w:pPr>
      <w:r>
        <w:rPr>
          <w:rFonts w:ascii="Calibri" w:hAnsi="Calibri" w:cs="Calibri"/>
        </w:rPr>
        <w:t>E</w:t>
      </w:r>
      <w:r w:rsidRPr="00844BE5">
        <w:rPr>
          <w:rFonts w:ascii="Calibri" w:hAnsi="Calibri" w:cs="Calibri"/>
        </w:rPr>
        <w:t xml:space="preserve">xternalizar servicios crea una dependencia con un tercero, que puede dar lugar a </w:t>
      </w:r>
      <w:r>
        <w:rPr>
          <w:rFonts w:ascii="Calibri" w:hAnsi="Calibri" w:cs="Calibri"/>
        </w:rPr>
        <w:t xml:space="preserve">un </w:t>
      </w:r>
      <w:r w:rsidRPr="00844BE5">
        <w:rPr>
          <w:rFonts w:ascii="Calibri" w:hAnsi="Calibri" w:cs="Calibri"/>
        </w:rPr>
        <w:t>riesgo alto</w:t>
      </w:r>
      <w:r>
        <w:rPr>
          <w:rFonts w:ascii="Calibri" w:hAnsi="Calibri" w:cs="Calibri"/>
        </w:rPr>
        <w:t xml:space="preserve"> para la continuidad del servicio</w:t>
      </w:r>
      <w:r w:rsidRPr="00844BE5">
        <w:rPr>
          <w:rFonts w:ascii="Calibri" w:hAnsi="Calibri" w:cs="Calibri"/>
        </w:rPr>
        <w:t xml:space="preserve"> en el caso de desaparición del proveedor. </w:t>
      </w:r>
    </w:p>
    <w:p w14:paraId="0420F73C" w14:textId="77777777" w:rsidR="008D77EC" w:rsidRPr="00A44A88" w:rsidRDefault="008D77EC" w:rsidP="008D77EC">
      <w:pPr>
        <w:keepNext/>
        <w:autoSpaceDE w:val="0"/>
        <w:autoSpaceDN w:val="0"/>
        <w:adjustRightInd w:val="0"/>
        <w:spacing w:before="120" w:after="0" w:line="240" w:lineRule="auto"/>
        <w:rPr>
          <w:rFonts w:cstheme="minorHAnsi"/>
          <w:i/>
        </w:rPr>
      </w:pPr>
      <w:r w:rsidRPr="00A44A88">
        <w:rPr>
          <w:rFonts w:cstheme="minorHAnsi"/>
          <w:i/>
        </w:rPr>
        <w:t>Portabilidad</w:t>
      </w:r>
    </w:p>
    <w:p w14:paraId="7FB96081" w14:textId="77777777" w:rsidR="008D77EC" w:rsidRPr="00844BE5" w:rsidRDefault="008D77EC" w:rsidP="008D77EC">
      <w:pPr>
        <w:pStyle w:val="Prrafodelista"/>
        <w:autoSpaceDE w:val="0"/>
        <w:autoSpaceDN w:val="0"/>
        <w:adjustRightInd w:val="0"/>
        <w:spacing w:before="120" w:after="0" w:line="240" w:lineRule="auto"/>
        <w:ind w:left="567"/>
        <w:contextualSpacing w:val="0"/>
        <w:jc w:val="both"/>
        <w:rPr>
          <w:rFonts w:ascii="Calibri" w:hAnsi="Calibri" w:cs="Calibri"/>
        </w:rPr>
      </w:pPr>
      <w:r w:rsidRPr="00844BE5">
        <w:rPr>
          <w:rFonts w:ascii="Calibri" w:hAnsi="Calibri" w:cs="Calibri"/>
        </w:rPr>
        <w:t>Los servicios cloud están diseñados para que el cliente pueda abstraerse de la tecnología y acceder de forma sencilla y rápida a unas necesidades tecnológicas específicas. Sin embargo, derivado en parte de esta abstracción, así como de la localización de los datos en un entorno controlado por un tercero, se puede llegar a producir una situación de bloqueo en la que el cliente no sea capaz de migrar el servicio cloud a la in</w:t>
      </w:r>
      <w:r>
        <w:rPr>
          <w:rFonts w:ascii="Calibri" w:hAnsi="Calibri" w:cs="Calibri"/>
        </w:rPr>
        <w:t>fraestructura de otro proveedor o a una propia.</w:t>
      </w:r>
    </w:p>
    <w:p w14:paraId="05B83F69" w14:textId="77777777" w:rsidR="008D77EC" w:rsidRPr="00844BE5" w:rsidRDefault="008D77EC" w:rsidP="008D77EC">
      <w:pPr>
        <w:pStyle w:val="Prrafodelista"/>
        <w:autoSpaceDE w:val="0"/>
        <w:autoSpaceDN w:val="0"/>
        <w:adjustRightInd w:val="0"/>
        <w:spacing w:before="120" w:after="0" w:line="240" w:lineRule="auto"/>
        <w:ind w:left="567"/>
        <w:contextualSpacing w:val="0"/>
        <w:jc w:val="both"/>
        <w:rPr>
          <w:rFonts w:ascii="Calibri" w:hAnsi="Calibri" w:cs="Calibri"/>
        </w:rPr>
      </w:pPr>
      <w:r w:rsidRPr="00844BE5">
        <w:rPr>
          <w:rFonts w:ascii="Calibri" w:hAnsi="Calibri" w:cs="Calibri"/>
        </w:rPr>
        <w:t>Esto suele deberse a la incompatibilidad surgida entre la tecnología desplegada por dos proveedores distintos, o por restricciones en el acceso a los datos depositados en la nube. Asimismo, esta situación también puede estar causada por una mala negociación de las cláusulas del contrato con el proveedor del servicio cloud.</w:t>
      </w:r>
    </w:p>
    <w:p w14:paraId="3F42384D" w14:textId="77777777" w:rsidR="001043E1" w:rsidRPr="00A44A88" w:rsidRDefault="001043E1" w:rsidP="001043E1">
      <w:pPr>
        <w:autoSpaceDE w:val="0"/>
        <w:autoSpaceDN w:val="0"/>
        <w:adjustRightInd w:val="0"/>
        <w:spacing w:before="120" w:after="0" w:line="240" w:lineRule="auto"/>
        <w:rPr>
          <w:rFonts w:cstheme="minorHAnsi"/>
          <w:i/>
        </w:rPr>
      </w:pPr>
      <w:r w:rsidRPr="00A44A88">
        <w:rPr>
          <w:rFonts w:cstheme="minorHAnsi"/>
          <w:i/>
        </w:rPr>
        <w:t>Disponibilidad</w:t>
      </w:r>
    </w:p>
    <w:p w14:paraId="6A76A5C8" w14:textId="77777777" w:rsidR="001043E1" w:rsidRDefault="001043E1" w:rsidP="001043E1">
      <w:pPr>
        <w:pStyle w:val="Prrafodelista"/>
        <w:autoSpaceDE w:val="0"/>
        <w:autoSpaceDN w:val="0"/>
        <w:adjustRightInd w:val="0"/>
        <w:spacing w:before="120" w:after="0" w:line="240" w:lineRule="auto"/>
        <w:ind w:left="567"/>
        <w:contextualSpacing w:val="0"/>
        <w:jc w:val="both"/>
        <w:rPr>
          <w:rFonts w:ascii="Calibri" w:hAnsi="Calibri" w:cs="Calibri"/>
        </w:rPr>
      </w:pPr>
      <w:r w:rsidRPr="00844BE5">
        <w:rPr>
          <w:rFonts w:ascii="Calibri" w:hAnsi="Calibri" w:cs="Calibri"/>
        </w:rPr>
        <w:t xml:space="preserve">Dependiendo de la criticidad de la información que </w:t>
      </w:r>
      <w:r>
        <w:rPr>
          <w:rFonts w:ascii="Calibri" w:hAnsi="Calibri" w:cs="Calibri"/>
        </w:rPr>
        <w:t xml:space="preserve">esté </w:t>
      </w:r>
      <w:r w:rsidRPr="00844BE5">
        <w:rPr>
          <w:rFonts w:ascii="Calibri" w:hAnsi="Calibri" w:cs="Calibri"/>
        </w:rPr>
        <w:t xml:space="preserve">alojada en cloud, los controles sobre su disponibilidad serán más o menos relevantes. Por ejemplo, no es lo mismo un servicio SaaS para la gestión de cuentas de correo corporativas que </w:t>
      </w:r>
      <w:r>
        <w:rPr>
          <w:rFonts w:ascii="Calibri" w:hAnsi="Calibri" w:cs="Calibri"/>
        </w:rPr>
        <w:t xml:space="preserve">uno </w:t>
      </w:r>
      <w:r w:rsidRPr="00844BE5">
        <w:rPr>
          <w:rFonts w:ascii="Calibri" w:hAnsi="Calibri" w:cs="Calibri"/>
        </w:rPr>
        <w:t xml:space="preserve">para compartir archivos de forma puntual con agentes externos a la entidad, o la gestión tributaria y recaudatoria. Los proveedores de </w:t>
      </w:r>
      <w:r w:rsidRPr="00844BE5">
        <w:rPr>
          <w:rFonts w:ascii="Calibri" w:hAnsi="Calibri" w:cs="Calibri"/>
        </w:rPr>
        <w:lastRenderedPageBreak/>
        <w:t>servicio</w:t>
      </w:r>
      <w:r>
        <w:rPr>
          <w:rFonts w:ascii="Calibri" w:hAnsi="Calibri" w:cs="Calibri"/>
        </w:rPr>
        <w:t>s cloud</w:t>
      </w:r>
      <w:r w:rsidRPr="00844BE5">
        <w:rPr>
          <w:rFonts w:ascii="Calibri" w:hAnsi="Calibri" w:cs="Calibri"/>
        </w:rPr>
        <w:t xml:space="preserve"> deben tener </w:t>
      </w:r>
      <w:r>
        <w:rPr>
          <w:rFonts w:ascii="Calibri" w:hAnsi="Calibri" w:cs="Calibri"/>
        </w:rPr>
        <w:t xml:space="preserve">definida </w:t>
      </w:r>
      <w:r w:rsidRPr="00844BE5">
        <w:rPr>
          <w:rFonts w:ascii="Calibri" w:hAnsi="Calibri" w:cs="Calibri"/>
        </w:rPr>
        <w:t xml:space="preserve">una política de recuperación de datos y servicio en caso de desastre. </w:t>
      </w:r>
    </w:p>
    <w:p w14:paraId="5308B1D6" w14:textId="77777777" w:rsidR="001043E1" w:rsidRPr="005B0930" w:rsidRDefault="001043E1" w:rsidP="001043E1">
      <w:pPr>
        <w:spacing w:before="160"/>
        <w:rPr>
          <w:rFonts w:cstheme="minorHAnsi"/>
          <w:i/>
        </w:rPr>
      </w:pPr>
      <w:bookmarkStart w:id="4" w:name="_Hlk11320312"/>
      <w:r w:rsidRPr="005B0930">
        <w:rPr>
          <w:rFonts w:cstheme="minorHAnsi"/>
          <w:i/>
        </w:rPr>
        <w:t>Uso inadecuado de usuarios administradores</w:t>
      </w:r>
    </w:p>
    <w:bookmarkEnd w:id="4"/>
    <w:p w14:paraId="0F9B4E77" w14:textId="1A78BB95" w:rsidR="001043E1" w:rsidRDefault="001043E1" w:rsidP="001043E1">
      <w:pPr>
        <w:pStyle w:val="Prrafodelista"/>
        <w:autoSpaceDE w:val="0"/>
        <w:autoSpaceDN w:val="0"/>
        <w:adjustRightInd w:val="0"/>
        <w:spacing w:before="120" w:after="0" w:line="240" w:lineRule="auto"/>
        <w:ind w:left="567"/>
        <w:contextualSpacing w:val="0"/>
        <w:jc w:val="both"/>
        <w:rPr>
          <w:rFonts w:ascii="Calibri" w:hAnsi="Calibri" w:cs="Calibri"/>
        </w:rPr>
      </w:pPr>
      <w:r>
        <w:rPr>
          <w:rFonts w:ascii="Calibri" w:hAnsi="Calibri" w:cs="Calibri"/>
        </w:rPr>
        <w:t>La revisión de los superusuarios es un aspecto muy relevante en cualquier auditoría. Cuando se audita un entorno cloud aún es más crítico puesto que habrá administradores ajenos a la entidad cuya existencia no será “visible” (en la mayoría de los casos) ni para los auditores ni para la propia entidad auditada.</w:t>
      </w:r>
    </w:p>
    <w:p w14:paraId="7CC8A63C" w14:textId="30293DEC" w:rsidR="00260A09" w:rsidRPr="00A44A88" w:rsidRDefault="00260A09" w:rsidP="00A44A88">
      <w:pPr>
        <w:autoSpaceDE w:val="0"/>
        <w:autoSpaceDN w:val="0"/>
        <w:adjustRightInd w:val="0"/>
        <w:spacing w:before="120" w:after="0" w:line="240" w:lineRule="auto"/>
        <w:rPr>
          <w:rFonts w:cstheme="minorHAnsi"/>
          <w:i/>
        </w:rPr>
      </w:pPr>
      <w:r w:rsidRPr="00A44A88">
        <w:rPr>
          <w:rFonts w:cstheme="minorHAnsi"/>
          <w:i/>
        </w:rPr>
        <w:t>Inadecuada gestión de identidades, accesos y credenciales</w:t>
      </w:r>
    </w:p>
    <w:p w14:paraId="2A107BDD" w14:textId="1E73A91B" w:rsidR="00260A09" w:rsidRPr="00844BE5" w:rsidRDefault="00260A09" w:rsidP="00A44A88">
      <w:pPr>
        <w:pStyle w:val="Prrafodelista"/>
        <w:autoSpaceDE w:val="0"/>
        <w:autoSpaceDN w:val="0"/>
        <w:adjustRightInd w:val="0"/>
        <w:spacing w:before="120" w:after="0" w:line="240" w:lineRule="auto"/>
        <w:ind w:left="567"/>
        <w:contextualSpacing w:val="0"/>
        <w:jc w:val="both"/>
        <w:rPr>
          <w:rFonts w:ascii="Calibri" w:hAnsi="Calibri" w:cs="Calibri"/>
        </w:rPr>
      </w:pPr>
      <w:r w:rsidRPr="00844BE5">
        <w:rPr>
          <w:rFonts w:ascii="Calibri" w:hAnsi="Calibri" w:cs="Calibri"/>
        </w:rPr>
        <w:t xml:space="preserve">La asignación de permisos y la gestión de usuarios conllevan un esfuerzo y dificultad que en muchos casos implica que se cometan errores, otorgándose permisos y accesos a información y sistemas a usuarios que no deberían tenerlos. </w:t>
      </w:r>
    </w:p>
    <w:p w14:paraId="556C9058" w14:textId="4191440D" w:rsidR="00260A09" w:rsidRPr="00844BE5" w:rsidRDefault="00260A09" w:rsidP="00A44A88">
      <w:pPr>
        <w:pStyle w:val="Prrafodelista"/>
        <w:autoSpaceDE w:val="0"/>
        <w:autoSpaceDN w:val="0"/>
        <w:adjustRightInd w:val="0"/>
        <w:spacing w:before="120" w:after="0" w:line="240" w:lineRule="auto"/>
        <w:ind w:left="567"/>
        <w:contextualSpacing w:val="0"/>
        <w:jc w:val="both"/>
        <w:rPr>
          <w:rFonts w:ascii="Calibri" w:hAnsi="Calibri" w:cs="Calibri"/>
        </w:rPr>
      </w:pPr>
      <w:r w:rsidRPr="00844BE5">
        <w:rPr>
          <w:rFonts w:ascii="Calibri" w:hAnsi="Calibri" w:cs="Calibri"/>
        </w:rPr>
        <w:t>Igualmente, los mecanismos de asignación de contraseñas o los propios sistemas de autenticación, cuando no disponen de controles para robustecerlas y evitar que un usuario ilegítimo acceda a donde no debe, son amenazas que deben preocupar a los responsables de seguridad de cualquier organización y a los auditores.</w:t>
      </w:r>
    </w:p>
    <w:p w14:paraId="66A83380" w14:textId="742E5CEC" w:rsidR="00631D60" w:rsidRDefault="00260A09" w:rsidP="00F950FC">
      <w:pPr>
        <w:pStyle w:val="Prrafodelista"/>
        <w:autoSpaceDE w:val="0"/>
        <w:autoSpaceDN w:val="0"/>
        <w:adjustRightInd w:val="0"/>
        <w:spacing w:before="120" w:line="240" w:lineRule="auto"/>
        <w:ind w:left="567"/>
        <w:contextualSpacing w:val="0"/>
        <w:jc w:val="both"/>
        <w:rPr>
          <w:rFonts w:ascii="Calibri" w:hAnsi="Calibri" w:cs="Calibri"/>
        </w:rPr>
      </w:pPr>
      <w:r w:rsidRPr="00844BE5">
        <w:rPr>
          <w:rFonts w:ascii="Calibri" w:hAnsi="Calibri" w:cs="Calibri"/>
        </w:rPr>
        <w:t xml:space="preserve">Por otro lado, han de valorarse los riesgos que implica compartir la gestión de identidades con un proveedor de cloud frente a la centralización de las mismas en un repositorio único. En el caso de optar por el cloud, el auditor debe analizar si la organización ha revisado los controles de seguridad que dicho proveedor ofrece para proteger </w:t>
      </w:r>
      <w:r w:rsidR="00F950FC">
        <w:rPr>
          <w:rFonts w:ascii="Calibri" w:hAnsi="Calibri" w:cs="Calibri"/>
        </w:rPr>
        <w:t>los accesos</w:t>
      </w:r>
      <w:r w:rsidRPr="00844BE5">
        <w:rPr>
          <w:rFonts w:ascii="Calibri" w:hAnsi="Calibri" w:cs="Calibri"/>
        </w:rPr>
        <w:t>.</w:t>
      </w:r>
    </w:p>
    <w:p w14:paraId="1C9624F5" w14:textId="77777777" w:rsidR="00FE3561" w:rsidRPr="00A44A88" w:rsidRDefault="008E528A" w:rsidP="00A44A88">
      <w:pPr>
        <w:autoSpaceDE w:val="0"/>
        <w:autoSpaceDN w:val="0"/>
        <w:adjustRightInd w:val="0"/>
        <w:spacing w:before="120" w:after="0" w:line="240" w:lineRule="auto"/>
        <w:rPr>
          <w:rFonts w:cstheme="minorHAnsi"/>
          <w:i/>
        </w:rPr>
      </w:pPr>
      <w:r w:rsidRPr="00A44A88">
        <w:rPr>
          <w:rFonts w:cstheme="minorHAnsi"/>
          <w:i/>
        </w:rPr>
        <w:t>Pérdida de trazabilidad</w:t>
      </w:r>
    </w:p>
    <w:p w14:paraId="69169B82" w14:textId="477CA5B6" w:rsidR="008E528A" w:rsidRPr="00844BE5" w:rsidRDefault="008E528A" w:rsidP="00A44A88">
      <w:pPr>
        <w:pStyle w:val="Prrafodelista"/>
        <w:autoSpaceDE w:val="0"/>
        <w:autoSpaceDN w:val="0"/>
        <w:adjustRightInd w:val="0"/>
        <w:spacing w:before="120" w:after="0" w:line="240" w:lineRule="auto"/>
        <w:ind w:left="567"/>
        <w:contextualSpacing w:val="0"/>
        <w:jc w:val="both"/>
        <w:rPr>
          <w:rFonts w:ascii="Calibri" w:hAnsi="Calibri" w:cs="Calibri"/>
        </w:rPr>
      </w:pPr>
      <w:r w:rsidRPr="00844BE5">
        <w:rPr>
          <w:rFonts w:ascii="Calibri" w:hAnsi="Calibri" w:cs="Calibri"/>
        </w:rPr>
        <w:t xml:space="preserve">El cliente o consumidor </w:t>
      </w:r>
      <w:r w:rsidRPr="00F17A93">
        <w:rPr>
          <w:rFonts w:ascii="Calibri" w:hAnsi="Calibri" w:cs="Calibri"/>
        </w:rPr>
        <w:t>desconoce</w:t>
      </w:r>
      <w:r w:rsidRPr="00844BE5">
        <w:rPr>
          <w:rFonts w:ascii="Calibri" w:hAnsi="Calibri" w:cs="Calibri"/>
        </w:rPr>
        <w:t xml:space="preserve"> el nivel de trazabilidad de los servicios hasta que los necesita.</w:t>
      </w:r>
    </w:p>
    <w:p w14:paraId="3733C047" w14:textId="54958119" w:rsidR="007E7DC9" w:rsidRPr="00A44A88" w:rsidRDefault="008D5998" w:rsidP="00A44A88">
      <w:pPr>
        <w:autoSpaceDE w:val="0"/>
        <w:autoSpaceDN w:val="0"/>
        <w:adjustRightInd w:val="0"/>
        <w:spacing w:before="120" w:after="0" w:line="240" w:lineRule="auto"/>
        <w:rPr>
          <w:rFonts w:cstheme="minorHAnsi"/>
          <w:i/>
        </w:rPr>
      </w:pPr>
      <w:r w:rsidRPr="00A44A88">
        <w:rPr>
          <w:rFonts w:cstheme="minorHAnsi"/>
          <w:i/>
        </w:rPr>
        <w:t>Otros riesgos o r</w:t>
      </w:r>
      <w:r w:rsidR="00CE4587" w:rsidRPr="00A44A88">
        <w:rPr>
          <w:rFonts w:cstheme="minorHAnsi"/>
          <w:i/>
        </w:rPr>
        <w:t>iesgos no vinculados a la nube</w:t>
      </w:r>
    </w:p>
    <w:p w14:paraId="3C171C2A" w14:textId="4371DC5A" w:rsidR="002D2F49" w:rsidRDefault="00051266" w:rsidP="00A44A88">
      <w:pPr>
        <w:pStyle w:val="Prrafodelista"/>
        <w:spacing w:before="120" w:after="0" w:line="240" w:lineRule="auto"/>
        <w:ind w:left="567"/>
        <w:contextualSpacing w:val="0"/>
        <w:jc w:val="both"/>
        <w:rPr>
          <w:rFonts w:ascii="Calibri" w:eastAsia="Times New Roman" w:hAnsi="Calibri" w:cs="Calibri"/>
          <w:color w:val="000000"/>
          <w:lang w:eastAsia="es-ES"/>
        </w:rPr>
      </w:pPr>
      <w:r w:rsidRPr="00844BE5">
        <w:rPr>
          <w:rFonts w:ascii="Calibri" w:eastAsia="Times New Roman" w:hAnsi="Calibri" w:cs="Calibri"/>
          <w:color w:val="000000"/>
          <w:lang w:eastAsia="es-ES"/>
        </w:rPr>
        <w:t>Desastres naturales</w:t>
      </w:r>
      <w:r w:rsidR="008D5998" w:rsidRPr="00844BE5">
        <w:rPr>
          <w:rFonts w:ascii="Calibri" w:eastAsia="Times New Roman" w:hAnsi="Calibri" w:cs="Calibri"/>
          <w:color w:val="000000"/>
          <w:lang w:eastAsia="es-ES"/>
        </w:rPr>
        <w:t>, a</w:t>
      </w:r>
      <w:r w:rsidR="00AD3301" w:rsidRPr="00844BE5">
        <w:rPr>
          <w:rFonts w:ascii="Calibri" w:eastAsia="Times New Roman" w:hAnsi="Calibri" w:cs="Calibri"/>
          <w:color w:val="000000"/>
          <w:lang w:eastAsia="es-ES"/>
        </w:rPr>
        <w:t>cceso no autorizado a instalaciones</w:t>
      </w:r>
      <w:r w:rsidR="008D5998" w:rsidRPr="00844BE5">
        <w:rPr>
          <w:rFonts w:ascii="Calibri" w:eastAsia="Times New Roman" w:hAnsi="Calibri" w:cs="Calibri"/>
          <w:color w:val="000000"/>
          <w:lang w:eastAsia="es-ES"/>
        </w:rPr>
        <w:t>, r</w:t>
      </w:r>
      <w:r w:rsidR="00AD3301" w:rsidRPr="00844BE5">
        <w:rPr>
          <w:rFonts w:ascii="Calibri" w:eastAsia="Times New Roman" w:hAnsi="Calibri" w:cs="Calibri"/>
          <w:color w:val="000000"/>
          <w:lang w:eastAsia="es-ES"/>
        </w:rPr>
        <w:t>obos</w:t>
      </w:r>
      <w:r w:rsidR="008D5998" w:rsidRPr="00844BE5">
        <w:rPr>
          <w:rFonts w:ascii="Calibri" w:eastAsia="Times New Roman" w:hAnsi="Calibri" w:cs="Calibri"/>
          <w:color w:val="000000"/>
          <w:lang w:eastAsia="es-ES"/>
        </w:rPr>
        <w:t xml:space="preserve"> o p</w:t>
      </w:r>
      <w:r w:rsidR="002D2F49" w:rsidRPr="00844BE5">
        <w:rPr>
          <w:rFonts w:ascii="Calibri" w:eastAsia="Times New Roman" w:hAnsi="Calibri" w:cs="Calibri"/>
          <w:color w:val="000000"/>
          <w:lang w:eastAsia="es-ES"/>
        </w:rPr>
        <w:t>roblemas en la red</w:t>
      </w:r>
      <w:r w:rsidR="000004B8">
        <w:rPr>
          <w:rFonts w:ascii="Calibri" w:eastAsia="Times New Roman" w:hAnsi="Calibri" w:cs="Calibri"/>
          <w:color w:val="000000"/>
          <w:lang w:eastAsia="es-ES"/>
        </w:rPr>
        <w:t>, etc.</w:t>
      </w:r>
    </w:p>
    <w:p w14:paraId="7CDABA92" w14:textId="42760B37" w:rsidR="00335944" w:rsidRDefault="00335944" w:rsidP="00335944">
      <w:pPr>
        <w:spacing w:before="120"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De todos los riesgos existentes a nivel operativo</w:t>
      </w:r>
      <w:r w:rsidR="008215FD">
        <w:rPr>
          <w:rFonts w:ascii="Calibri" w:eastAsia="Times New Roman" w:hAnsi="Calibri" w:cs="Calibri"/>
          <w:color w:val="000000"/>
          <w:lang w:eastAsia="es-ES"/>
        </w:rPr>
        <w:t>,</w:t>
      </w:r>
      <w:r>
        <w:rPr>
          <w:rFonts w:ascii="Calibri" w:eastAsia="Times New Roman" w:hAnsi="Calibri" w:cs="Calibri"/>
          <w:color w:val="000000"/>
          <w:lang w:eastAsia="es-ES"/>
        </w:rPr>
        <w:t xml:space="preserve"> el auditor debe, aplicando su juicio profesional, determinar cuáles son riesgos significativos a efectos de la auditoría financiera, es decir aquellos que </w:t>
      </w:r>
      <w:r w:rsidR="001C2CBC">
        <w:rPr>
          <w:rFonts w:ascii="Calibri" w:eastAsia="Times New Roman" w:hAnsi="Calibri" w:cs="Calibri"/>
          <w:color w:val="000000"/>
          <w:lang w:eastAsia="es-ES"/>
        </w:rPr>
        <w:t xml:space="preserve">pueden suponer un impacto </w:t>
      </w:r>
      <w:r w:rsidR="000004B8">
        <w:rPr>
          <w:rFonts w:ascii="Calibri" w:eastAsia="Times New Roman" w:hAnsi="Calibri" w:cs="Calibri"/>
          <w:color w:val="000000"/>
          <w:lang w:eastAsia="es-ES"/>
        </w:rPr>
        <w:t xml:space="preserve">significativo </w:t>
      </w:r>
      <w:r w:rsidR="001C2CBC">
        <w:rPr>
          <w:rFonts w:ascii="Calibri" w:eastAsia="Times New Roman" w:hAnsi="Calibri" w:cs="Calibri"/>
          <w:color w:val="000000"/>
          <w:lang w:eastAsia="es-ES"/>
        </w:rPr>
        <w:t xml:space="preserve">en las cuentas anuales y por tanto </w:t>
      </w:r>
      <w:r>
        <w:rPr>
          <w:rFonts w:ascii="Calibri" w:eastAsia="Times New Roman" w:hAnsi="Calibri" w:cs="Calibri"/>
          <w:color w:val="000000"/>
          <w:lang w:eastAsia="es-ES"/>
        </w:rPr>
        <w:t>representan un riesgo de incorrección material.</w:t>
      </w:r>
    </w:p>
    <w:p w14:paraId="7B5840AD" w14:textId="096AFE51" w:rsidR="00CC09CB" w:rsidRPr="00F17A93" w:rsidRDefault="00815056" w:rsidP="00844BE5">
      <w:pPr>
        <w:pStyle w:val="Prrafodelista"/>
        <w:numPr>
          <w:ilvl w:val="0"/>
          <w:numId w:val="4"/>
        </w:numPr>
        <w:spacing w:before="120" w:after="0" w:line="240" w:lineRule="auto"/>
        <w:ind w:left="567" w:hanging="567"/>
        <w:contextualSpacing w:val="0"/>
        <w:jc w:val="both"/>
        <w:rPr>
          <w:rFonts w:ascii="Calibri" w:hAnsi="Calibri" w:cs="Calibri"/>
          <w:b/>
        </w:rPr>
      </w:pPr>
      <w:r w:rsidRPr="00F17A93">
        <w:rPr>
          <w:rFonts w:ascii="Calibri" w:hAnsi="Calibri" w:cs="Calibri"/>
          <w:b/>
        </w:rPr>
        <w:t xml:space="preserve">Responsabilidades del proveedor del servicio cloud y del </w:t>
      </w:r>
      <w:r w:rsidR="00EF21AE" w:rsidRPr="00F17A93">
        <w:rPr>
          <w:rFonts w:ascii="Calibri" w:hAnsi="Calibri" w:cs="Calibri"/>
          <w:b/>
        </w:rPr>
        <w:t>auditado</w:t>
      </w:r>
    </w:p>
    <w:p w14:paraId="46B172AD" w14:textId="77777777" w:rsidR="006B603C" w:rsidRDefault="004E7C38" w:rsidP="00844BE5">
      <w:pPr>
        <w:spacing w:before="120" w:after="0" w:line="240" w:lineRule="auto"/>
        <w:jc w:val="both"/>
        <w:rPr>
          <w:rFonts w:ascii="Calibri" w:eastAsia="Times New Roman" w:hAnsi="Calibri" w:cs="Calibri"/>
          <w:color w:val="000000"/>
          <w:lang w:eastAsia="es-ES"/>
        </w:rPr>
      </w:pPr>
      <w:r w:rsidRPr="00844BE5">
        <w:rPr>
          <w:rFonts w:ascii="Calibri" w:eastAsia="Times New Roman" w:hAnsi="Calibri" w:cs="Calibri"/>
          <w:color w:val="000000"/>
          <w:lang w:eastAsia="es-ES"/>
        </w:rPr>
        <w:t xml:space="preserve">En función de la propiedad y de la administración de la infraestructura cloud, el cumplimiento legal y normativo recaerá sobre la organización </w:t>
      </w:r>
      <w:r w:rsidR="001709E0" w:rsidRPr="00844BE5">
        <w:rPr>
          <w:rFonts w:ascii="Calibri" w:eastAsia="Times New Roman" w:hAnsi="Calibri" w:cs="Calibri"/>
          <w:color w:val="000000"/>
          <w:lang w:eastAsia="es-ES"/>
        </w:rPr>
        <w:t xml:space="preserve">usuaria </w:t>
      </w:r>
      <w:r w:rsidRPr="00844BE5">
        <w:rPr>
          <w:rFonts w:ascii="Calibri" w:eastAsia="Times New Roman" w:hAnsi="Calibri" w:cs="Calibri"/>
          <w:color w:val="000000"/>
          <w:lang w:eastAsia="es-ES"/>
        </w:rPr>
        <w:t>o el proveedor de servicios.</w:t>
      </w:r>
      <w:r w:rsidR="00ED3CC7" w:rsidRPr="00844BE5">
        <w:rPr>
          <w:rFonts w:ascii="Calibri" w:eastAsia="Times New Roman" w:hAnsi="Calibri" w:cs="Calibri"/>
          <w:color w:val="000000"/>
          <w:lang w:eastAsia="es-ES"/>
        </w:rPr>
        <w:t xml:space="preserve"> En el supuesto de que sea el organismo</w:t>
      </w:r>
      <w:r w:rsidR="001709E0" w:rsidRPr="00844BE5">
        <w:rPr>
          <w:rFonts w:ascii="Calibri" w:eastAsia="Times New Roman" w:hAnsi="Calibri" w:cs="Calibri"/>
          <w:color w:val="000000"/>
          <w:lang w:eastAsia="es-ES"/>
        </w:rPr>
        <w:t xml:space="preserve"> usuario</w:t>
      </w:r>
      <w:r w:rsidR="00ED3CC7" w:rsidRPr="00844BE5">
        <w:rPr>
          <w:rFonts w:ascii="Calibri" w:eastAsia="Times New Roman" w:hAnsi="Calibri" w:cs="Calibri"/>
          <w:color w:val="000000"/>
          <w:lang w:eastAsia="es-ES"/>
        </w:rPr>
        <w:t xml:space="preserve"> el propietario y administrador de la infraestructura</w:t>
      </w:r>
      <w:r w:rsidR="00FA6FB8" w:rsidRPr="00844BE5">
        <w:rPr>
          <w:rFonts w:ascii="Calibri" w:eastAsia="Times New Roman" w:hAnsi="Calibri" w:cs="Calibri"/>
          <w:color w:val="000000"/>
          <w:lang w:eastAsia="es-ES"/>
        </w:rPr>
        <w:t xml:space="preserve">, la </w:t>
      </w:r>
      <w:r w:rsidR="001709E0" w:rsidRPr="00844BE5">
        <w:rPr>
          <w:rFonts w:ascii="Calibri" w:eastAsia="Times New Roman" w:hAnsi="Calibri" w:cs="Calibri"/>
          <w:color w:val="000000"/>
          <w:lang w:eastAsia="es-ES"/>
        </w:rPr>
        <w:t xml:space="preserve">responsabilidad por la </w:t>
      </w:r>
      <w:r w:rsidR="00ED3CC7" w:rsidRPr="00844BE5">
        <w:rPr>
          <w:rFonts w:ascii="Calibri" w:eastAsia="Times New Roman" w:hAnsi="Calibri" w:cs="Calibri"/>
          <w:color w:val="000000"/>
          <w:lang w:eastAsia="es-ES"/>
        </w:rPr>
        <w:t>adecuación a la normativa vigente recae en dicho organismo</w:t>
      </w:r>
      <w:r w:rsidR="00FC31EB" w:rsidRPr="00844BE5">
        <w:rPr>
          <w:rFonts w:ascii="Calibri" w:eastAsia="Times New Roman" w:hAnsi="Calibri" w:cs="Calibri"/>
          <w:color w:val="000000"/>
          <w:lang w:eastAsia="es-ES"/>
        </w:rPr>
        <w:t xml:space="preserve">; por el contrario, </w:t>
      </w:r>
      <w:r w:rsidR="00ED3CC7" w:rsidRPr="00844BE5">
        <w:rPr>
          <w:rFonts w:ascii="Calibri" w:eastAsia="Times New Roman" w:hAnsi="Calibri" w:cs="Calibri"/>
          <w:color w:val="000000"/>
          <w:lang w:eastAsia="es-ES"/>
        </w:rPr>
        <w:t xml:space="preserve">en el caso de estar la infraestructura operada por un tercero, éste deberá cumplir los requisitos establecidos en la normativa de seguridad que sea de aplicación en lo que respecta a prestadores de servicios. </w:t>
      </w:r>
    </w:p>
    <w:p w14:paraId="74587FD3" w14:textId="1A31F610" w:rsidR="00ED3CC7" w:rsidRDefault="00ED3CC7" w:rsidP="00844BE5">
      <w:pPr>
        <w:spacing w:before="120" w:after="0" w:line="240" w:lineRule="auto"/>
        <w:jc w:val="both"/>
        <w:rPr>
          <w:rFonts w:ascii="Calibri" w:eastAsia="Times New Roman" w:hAnsi="Calibri" w:cs="Calibri"/>
          <w:color w:val="000000"/>
          <w:lang w:eastAsia="es-ES"/>
        </w:rPr>
      </w:pPr>
      <w:r w:rsidRPr="00844BE5">
        <w:rPr>
          <w:rFonts w:ascii="Calibri" w:eastAsia="Times New Roman" w:hAnsi="Calibri" w:cs="Calibri"/>
          <w:color w:val="000000"/>
          <w:lang w:eastAsia="es-ES"/>
        </w:rPr>
        <w:t xml:space="preserve">En cualquier caso, la responsabilidad del cumplimiento </w:t>
      </w:r>
      <w:r w:rsidR="00FC31EB" w:rsidRPr="00844BE5">
        <w:rPr>
          <w:rFonts w:ascii="Calibri" w:eastAsia="Times New Roman" w:hAnsi="Calibri" w:cs="Calibri"/>
          <w:color w:val="000000"/>
          <w:lang w:eastAsia="es-ES"/>
        </w:rPr>
        <w:t>de las</w:t>
      </w:r>
      <w:r w:rsidRPr="00844BE5">
        <w:rPr>
          <w:rFonts w:ascii="Calibri" w:eastAsia="Times New Roman" w:hAnsi="Calibri" w:cs="Calibri"/>
          <w:color w:val="000000"/>
          <w:lang w:eastAsia="es-ES"/>
        </w:rPr>
        <w:t xml:space="preserve"> normas aplica</w:t>
      </w:r>
      <w:r w:rsidR="008215FD">
        <w:rPr>
          <w:rFonts w:ascii="Calibri" w:eastAsia="Times New Roman" w:hAnsi="Calibri" w:cs="Calibri"/>
          <w:color w:val="000000"/>
          <w:lang w:eastAsia="es-ES"/>
        </w:rPr>
        <w:t>bles</w:t>
      </w:r>
      <w:r w:rsidR="00FC31EB" w:rsidRPr="00844BE5">
        <w:rPr>
          <w:rFonts w:ascii="Calibri" w:eastAsia="Times New Roman" w:hAnsi="Calibri" w:cs="Calibri"/>
          <w:color w:val="000000"/>
          <w:lang w:eastAsia="es-ES"/>
        </w:rPr>
        <w:t xml:space="preserve"> y el </w:t>
      </w:r>
      <w:r w:rsidRPr="00844BE5">
        <w:rPr>
          <w:rFonts w:ascii="Calibri" w:eastAsia="Times New Roman" w:hAnsi="Calibri" w:cs="Calibri"/>
          <w:color w:val="000000"/>
          <w:lang w:eastAsia="es-ES"/>
        </w:rPr>
        <w:t xml:space="preserve">correcto tratamiento de los </w:t>
      </w:r>
      <w:r w:rsidR="00FC31EB" w:rsidRPr="00844BE5">
        <w:rPr>
          <w:rFonts w:ascii="Calibri" w:eastAsia="Times New Roman" w:hAnsi="Calibri" w:cs="Calibri"/>
          <w:color w:val="000000"/>
          <w:lang w:eastAsia="es-ES"/>
        </w:rPr>
        <w:t xml:space="preserve">datos recaerá </w:t>
      </w:r>
      <w:r w:rsidRPr="00844BE5">
        <w:rPr>
          <w:rFonts w:ascii="Calibri" w:eastAsia="Times New Roman" w:hAnsi="Calibri" w:cs="Calibri"/>
          <w:color w:val="000000"/>
          <w:lang w:eastAsia="es-ES"/>
        </w:rPr>
        <w:t xml:space="preserve">siempre sobre el organismo propietario de la información, con independencia de la existencia de acuerdos, seguros u otras medidas compensatorias. </w:t>
      </w:r>
    </w:p>
    <w:p w14:paraId="2D63E990" w14:textId="77777777" w:rsidR="00815056" w:rsidRDefault="00815056" w:rsidP="00815056">
      <w:pPr>
        <w:autoSpaceDE w:val="0"/>
        <w:autoSpaceDN w:val="0"/>
        <w:adjustRightInd w:val="0"/>
        <w:spacing w:before="120" w:after="0" w:line="240" w:lineRule="auto"/>
        <w:jc w:val="both"/>
        <w:rPr>
          <w:rFonts w:ascii="Calibri" w:eastAsia="Times New Roman" w:hAnsi="Calibri" w:cs="Calibri"/>
          <w:color w:val="000000"/>
          <w:lang w:eastAsia="es-ES"/>
        </w:rPr>
      </w:pPr>
      <w:r w:rsidRPr="00841D0F">
        <w:rPr>
          <w:rFonts w:ascii="Calibri" w:eastAsia="Times New Roman" w:hAnsi="Calibri" w:cs="Calibri"/>
          <w:color w:val="000000"/>
          <w:lang w:eastAsia="es-ES"/>
        </w:rPr>
        <w:t>Cuando se utilizan servicios externalizados (mediante contrato, convenio, encomienda, etc.), es frecuente que la</w:t>
      </w:r>
      <w:r>
        <w:rPr>
          <w:rFonts w:ascii="Calibri" w:eastAsia="Times New Roman" w:hAnsi="Calibri" w:cs="Calibri"/>
          <w:color w:val="000000"/>
          <w:lang w:eastAsia="es-ES"/>
        </w:rPr>
        <w:t xml:space="preserve"> </w:t>
      </w:r>
      <w:r w:rsidRPr="00841D0F">
        <w:rPr>
          <w:rFonts w:ascii="Calibri" w:eastAsia="Times New Roman" w:hAnsi="Calibri" w:cs="Calibri"/>
          <w:color w:val="000000"/>
          <w:lang w:eastAsia="es-ES"/>
        </w:rPr>
        <w:t>entidad prestadora (pública o privada) cuente con un Responsable de la Seguridad al que será exigible el</w:t>
      </w:r>
      <w:r>
        <w:rPr>
          <w:rFonts w:ascii="Calibri" w:eastAsia="Times New Roman" w:hAnsi="Calibri" w:cs="Calibri"/>
          <w:color w:val="000000"/>
          <w:lang w:eastAsia="es-ES"/>
        </w:rPr>
        <w:t xml:space="preserve"> </w:t>
      </w:r>
      <w:r w:rsidRPr="00841D0F">
        <w:rPr>
          <w:rFonts w:ascii="Calibri" w:eastAsia="Times New Roman" w:hAnsi="Calibri" w:cs="Calibri"/>
          <w:color w:val="000000"/>
          <w:lang w:eastAsia="es-ES"/>
        </w:rPr>
        <w:t>mantenimiento de la seguridad de los sistemas de información concernidos, sin que ello suponga merma de la</w:t>
      </w:r>
      <w:r>
        <w:rPr>
          <w:rFonts w:ascii="Calibri" w:eastAsia="Times New Roman" w:hAnsi="Calibri" w:cs="Calibri"/>
          <w:color w:val="000000"/>
          <w:lang w:eastAsia="es-ES"/>
        </w:rPr>
        <w:t xml:space="preserve"> </w:t>
      </w:r>
      <w:r w:rsidRPr="00841D0F">
        <w:rPr>
          <w:rFonts w:ascii="Calibri" w:eastAsia="Times New Roman" w:hAnsi="Calibri" w:cs="Calibri"/>
          <w:color w:val="000000"/>
          <w:lang w:eastAsia="es-ES"/>
        </w:rPr>
        <w:t xml:space="preserve">responsabilidad exigible al Responsable de la Seguridad de la entidad pública destinataria de los servicios. </w:t>
      </w:r>
    </w:p>
    <w:p w14:paraId="484356F3" w14:textId="0F0C364D" w:rsidR="006B603C" w:rsidRDefault="006B603C" w:rsidP="00844BE5">
      <w:pPr>
        <w:spacing w:before="120"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 xml:space="preserve">La </w:t>
      </w:r>
      <w:r w:rsidRPr="000004B8">
        <w:rPr>
          <w:rFonts w:ascii="Calibri" w:eastAsia="Times New Roman" w:hAnsi="Calibri" w:cs="Calibri"/>
          <w:i/>
          <w:color w:val="000000"/>
          <w:lang w:eastAsia="es-ES"/>
        </w:rPr>
        <w:t>Guía de seguridad de las TIC CCN-STIC 801</w:t>
      </w:r>
      <w:r>
        <w:rPr>
          <w:rFonts w:ascii="Calibri" w:eastAsia="Times New Roman" w:hAnsi="Calibri" w:cs="Calibri"/>
          <w:color w:val="000000"/>
          <w:lang w:eastAsia="es-ES"/>
        </w:rPr>
        <w:t xml:space="preserve"> aclara y delimita los distintos roles establecidos en el ENS, el RGPD y la LOPD</w:t>
      </w:r>
      <w:r w:rsidR="00815056">
        <w:rPr>
          <w:rFonts w:ascii="Calibri" w:eastAsia="Times New Roman" w:hAnsi="Calibri" w:cs="Calibri"/>
          <w:color w:val="000000"/>
          <w:lang w:eastAsia="es-ES"/>
        </w:rPr>
        <w:t xml:space="preserve"> y </w:t>
      </w:r>
      <w:r>
        <w:rPr>
          <w:rFonts w:ascii="Calibri" w:eastAsia="Times New Roman" w:hAnsi="Calibri" w:cs="Calibri"/>
          <w:color w:val="000000"/>
          <w:lang w:eastAsia="es-ES"/>
        </w:rPr>
        <w:t xml:space="preserve">GDD en materia de seguridad de la información. En la </w:t>
      </w:r>
      <w:r w:rsidRPr="000004B8">
        <w:rPr>
          <w:rFonts w:ascii="Calibri" w:eastAsia="Times New Roman" w:hAnsi="Calibri" w:cs="Calibri"/>
          <w:i/>
          <w:color w:val="000000"/>
          <w:lang w:eastAsia="es-ES"/>
        </w:rPr>
        <w:t xml:space="preserve">Guía de seguridad de </w:t>
      </w:r>
      <w:r w:rsidRPr="000004B8">
        <w:rPr>
          <w:rFonts w:ascii="Calibri" w:eastAsia="Times New Roman" w:hAnsi="Calibri" w:cs="Calibri"/>
          <w:i/>
          <w:color w:val="000000"/>
          <w:lang w:eastAsia="es-ES"/>
        </w:rPr>
        <w:lastRenderedPageBreak/>
        <w:t>las TIC CCN-STIC-823 Utilización de servicios en la nube</w:t>
      </w:r>
      <w:r>
        <w:rPr>
          <w:rFonts w:ascii="Calibri" w:eastAsia="Times New Roman" w:hAnsi="Calibri" w:cs="Calibri"/>
          <w:color w:val="000000"/>
          <w:lang w:eastAsia="es-ES"/>
        </w:rPr>
        <w:t>, también se regula esta materia de forma específica.</w:t>
      </w:r>
    </w:p>
    <w:p w14:paraId="0DCF0FF7" w14:textId="77777777" w:rsidR="004A2F75" w:rsidRPr="00F17A93" w:rsidRDefault="004A2F75" w:rsidP="004A2F75">
      <w:pPr>
        <w:autoSpaceDE w:val="0"/>
        <w:autoSpaceDN w:val="0"/>
        <w:adjustRightInd w:val="0"/>
        <w:spacing w:before="120" w:after="0" w:line="240" w:lineRule="auto"/>
        <w:jc w:val="both"/>
        <w:rPr>
          <w:rFonts w:ascii="Calibri" w:eastAsia="Times New Roman" w:hAnsi="Calibri" w:cs="Calibri"/>
          <w:color w:val="000000"/>
          <w:lang w:eastAsia="es-ES"/>
        </w:rPr>
      </w:pPr>
      <w:r w:rsidRPr="00F17A93">
        <w:rPr>
          <w:rFonts w:ascii="Calibri" w:eastAsia="Times New Roman" w:hAnsi="Calibri" w:cs="Calibri"/>
          <w:color w:val="000000"/>
          <w:lang w:eastAsia="es-ES"/>
        </w:rPr>
        <w:t>En cuanto a las responsabilidades de las partes y el cumplimiento legal, el CSP queda obligado a cumplir todas las medidas del Anexo II del ENS que sean pertinentes, incluyendo instalaciones y personal, y pudiendo ser reemplazadas por otras siempre y cuando se justifique que protegen igual o mejor el riesgo sobre los activos, y se satisfacen los principios básicos recogidos en el Capítulo II del ENS.</w:t>
      </w:r>
    </w:p>
    <w:p w14:paraId="5BA433B9" w14:textId="77777777" w:rsidR="004A2F75" w:rsidRPr="00815056" w:rsidRDefault="004A2F75" w:rsidP="004A2F75">
      <w:pPr>
        <w:autoSpaceDE w:val="0"/>
        <w:autoSpaceDN w:val="0"/>
        <w:adjustRightInd w:val="0"/>
        <w:spacing w:before="120" w:after="0" w:line="240" w:lineRule="auto"/>
        <w:jc w:val="both"/>
        <w:rPr>
          <w:rFonts w:ascii="Calibri" w:eastAsia="Times New Roman" w:hAnsi="Calibri" w:cs="Calibri"/>
          <w:color w:val="000000"/>
          <w:lang w:eastAsia="es-ES"/>
        </w:rPr>
      </w:pPr>
      <w:r w:rsidRPr="00F17A93">
        <w:rPr>
          <w:rFonts w:ascii="Calibri" w:eastAsia="Times New Roman" w:hAnsi="Calibri" w:cs="Calibri"/>
          <w:color w:val="000000"/>
          <w:lang w:eastAsia="es-ES"/>
        </w:rPr>
        <w:t>Asimismo, siempre que la prestación de servicios cloud albergue datos de carácter personal, deberán cumplirse, además de los requisitos establecidos por el ENS (DA 1ª LOPDP y GDD), todos aquellos desarrollados en materia de protección de datos. Para más detalle sobre esta materia puede consultarse el apartado 3 de la CCN-STIC-823.</w:t>
      </w:r>
    </w:p>
    <w:p w14:paraId="772F5A67" w14:textId="4F49F767" w:rsidR="006C7A26" w:rsidRPr="00844BE5" w:rsidRDefault="006C7A26" w:rsidP="00844BE5">
      <w:pPr>
        <w:pStyle w:val="Prrafodelista"/>
        <w:numPr>
          <w:ilvl w:val="0"/>
          <w:numId w:val="4"/>
        </w:numPr>
        <w:spacing w:before="120" w:after="0" w:line="240" w:lineRule="auto"/>
        <w:ind w:left="567" w:hanging="567"/>
        <w:contextualSpacing w:val="0"/>
        <w:jc w:val="both"/>
        <w:rPr>
          <w:rFonts w:ascii="Calibri" w:hAnsi="Calibri" w:cs="Calibri"/>
          <w:b/>
        </w:rPr>
      </w:pPr>
      <w:r w:rsidRPr="00844BE5">
        <w:rPr>
          <w:rFonts w:ascii="Calibri" w:hAnsi="Calibri" w:cs="Calibri"/>
          <w:b/>
        </w:rPr>
        <w:t>Contratación</w:t>
      </w:r>
      <w:r w:rsidR="0061743A" w:rsidRPr="00844BE5">
        <w:rPr>
          <w:rFonts w:ascii="Calibri" w:hAnsi="Calibri" w:cs="Calibri"/>
          <w:b/>
        </w:rPr>
        <w:t xml:space="preserve"> del servicio</w:t>
      </w:r>
    </w:p>
    <w:p w14:paraId="142C7337" w14:textId="395EAEE0" w:rsidR="006C7A26" w:rsidRDefault="00724AC3" w:rsidP="00844BE5">
      <w:pPr>
        <w:autoSpaceDE w:val="0"/>
        <w:autoSpaceDN w:val="0"/>
        <w:adjustRightInd w:val="0"/>
        <w:spacing w:before="120" w:after="0" w:line="240" w:lineRule="auto"/>
        <w:jc w:val="both"/>
        <w:rPr>
          <w:rFonts w:ascii="Calibri" w:eastAsia="Times New Roman" w:hAnsi="Calibri" w:cs="Calibri"/>
          <w:color w:val="000000"/>
          <w:lang w:eastAsia="es-ES"/>
        </w:rPr>
      </w:pPr>
      <w:r w:rsidRPr="00844BE5">
        <w:rPr>
          <w:rFonts w:ascii="Calibri" w:eastAsia="Times New Roman" w:hAnsi="Calibri" w:cs="Calibri"/>
          <w:color w:val="000000"/>
          <w:lang w:eastAsia="es-ES"/>
        </w:rPr>
        <w:t>L</w:t>
      </w:r>
      <w:r w:rsidR="006C7A26" w:rsidRPr="00844BE5">
        <w:rPr>
          <w:rFonts w:ascii="Calibri" w:eastAsia="Times New Roman" w:hAnsi="Calibri" w:cs="Calibri"/>
          <w:color w:val="000000"/>
          <w:lang w:eastAsia="es-ES"/>
        </w:rPr>
        <w:t xml:space="preserve">a primera medida a implantar </w:t>
      </w:r>
      <w:r w:rsidRPr="00844BE5">
        <w:rPr>
          <w:rFonts w:ascii="Calibri" w:eastAsia="Times New Roman" w:hAnsi="Calibri" w:cs="Calibri"/>
          <w:color w:val="000000"/>
          <w:lang w:eastAsia="es-ES"/>
        </w:rPr>
        <w:t xml:space="preserve">al contratar servicios en la nube </w:t>
      </w:r>
      <w:r w:rsidR="006C7A26" w:rsidRPr="00844BE5">
        <w:rPr>
          <w:rFonts w:ascii="Calibri" w:eastAsia="Times New Roman" w:hAnsi="Calibri" w:cs="Calibri"/>
          <w:color w:val="000000"/>
          <w:lang w:eastAsia="es-ES"/>
        </w:rPr>
        <w:t xml:space="preserve">es la que recoge el apartado </w:t>
      </w:r>
      <w:r w:rsidR="006C7A26" w:rsidRPr="00844BE5">
        <w:rPr>
          <w:rFonts w:ascii="Calibri" w:eastAsia="Times New Roman" w:hAnsi="Calibri" w:cs="Calibri"/>
          <w:i/>
          <w:color w:val="000000"/>
          <w:lang w:eastAsia="es-ES"/>
        </w:rPr>
        <w:t>[op.ext.1] Contratación y acuerdos de nivel de servicio</w:t>
      </w:r>
      <w:r w:rsidR="006C7A26" w:rsidRPr="00844BE5">
        <w:rPr>
          <w:rFonts w:ascii="Calibri" w:eastAsia="Times New Roman" w:hAnsi="Calibri" w:cs="Calibri"/>
          <w:color w:val="000000"/>
          <w:lang w:eastAsia="es-ES"/>
        </w:rPr>
        <w:t xml:space="preserve"> del Anexo II del ENS</w:t>
      </w:r>
      <w:r w:rsidR="00967843" w:rsidRPr="00844BE5">
        <w:rPr>
          <w:rFonts w:ascii="Calibri" w:eastAsia="Times New Roman" w:hAnsi="Calibri" w:cs="Calibri"/>
          <w:color w:val="000000"/>
          <w:lang w:eastAsia="es-ES"/>
        </w:rPr>
        <w:t xml:space="preserve"> y recogido en el apartado </w:t>
      </w:r>
      <w:r w:rsidR="00967843" w:rsidRPr="003B1DF6">
        <w:rPr>
          <w:rFonts w:ascii="Calibri" w:eastAsia="Times New Roman" w:hAnsi="Calibri" w:cs="Calibri"/>
          <w:i/>
          <w:color w:val="000000"/>
          <w:lang w:eastAsia="es-ES"/>
        </w:rPr>
        <w:t>C</w:t>
      </w:r>
      <w:r w:rsidR="003B1DF6" w:rsidRPr="003B1DF6">
        <w:rPr>
          <w:rFonts w:ascii="Calibri" w:eastAsia="Times New Roman" w:hAnsi="Calibri" w:cs="Calibri"/>
          <w:i/>
          <w:color w:val="000000"/>
          <w:lang w:eastAsia="es-ES"/>
        </w:rPr>
        <w:t>.</w:t>
      </w:r>
      <w:r w:rsidR="00967843" w:rsidRPr="003B1DF6">
        <w:rPr>
          <w:rFonts w:ascii="Calibri" w:eastAsia="Times New Roman" w:hAnsi="Calibri" w:cs="Calibri"/>
          <w:i/>
          <w:color w:val="000000"/>
          <w:lang w:eastAsia="es-ES"/>
        </w:rPr>
        <w:t>5 Servicios Externos</w:t>
      </w:r>
      <w:r w:rsidR="00967843" w:rsidRPr="00844BE5">
        <w:rPr>
          <w:rFonts w:ascii="Calibri" w:eastAsia="Times New Roman" w:hAnsi="Calibri" w:cs="Calibri"/>
          <w:color w:val="000000"/>
          <w:lang w:eastAsia="es-ES"/>
        </w:rPr>
        <w:t xml:space="preserve"> de la GPF-OCEX 5330</w:t>
      </w:r>
      <w:r w:rsidR="00701589">
        <w:rPr>
          <w:rFonts w:ascii="Calibri" w:eastAsia="Times New Roman" w:hAnsi="Calibri" w:cs="Calibri"/>
          <w:color w:val="000000"/>
          <w:lang w:eastAsia="es-ES"/>
        </w:rPr>
        <w:t>:</w:t>
      </w:r>
      <w:r w:rsidR="00F06B59">
        <w:rPr>
          <w:rFonts w:ascii="Calibri" w:eastAsia="Times New Roman" w:hAnsi="Calibri" w:cs="Calibri"/>
          <w:color w:val="000000"/>
          <w:lang w:eastAsia="es-ES"/>
        </w:rPr>
        <w:t xml:space="preserve"> </w:t>
      </w:r>
      <w:r w:rsidR="00F74E24" w:rsidRPr="00844BE5">
        <w:rPr>
          <w:rFonts w:ascii="Calibri" w:eastAsia="Times New Roman" w:hAnsi="Calibri" w:cs="Calibri"/>
          <w:color w:val="000000"/>
          <w:lang w:eastAsia="es-ES"/>
        </w:rPr>
        <w:t>Se deben definir con precisión</w:t>
      </w:r>
      <w:r w:rsidR="006C7A26" w:rsidRPr="00844BE5">
        <w:rPr>
          <w:rFonts w:ascii="Calibri" w:eastAsia="Times New Roman" w:hAnsi="Calibri" w:cs="Calibri"/>
          <w:color w:val="000000"/>
          <w:lang w:eastAsia="es-ES"/>
        </w:rPr>
        <w:t xml:space="preserve"> las </w:t>
      </w:r>
      <w:r w:rsidR="006C7A26" w:rsidRPr="00815056">
        <w:rPr>
          <w:rFonts w:ascii="Calibri" w:eastAsia="Times New Roman" w:hAnsi="Calibri" w:cs="Calibri"/>
          <w:color w:val="000000"/>
          <w:lang w:eastAsia="es-ES"/>
        </w:rPr>
        <w:t>características del servicio y las responsabilidades de las partes</w:t>
      </w:r>
      <w:r w:rsidR="006C7A26" w:rsidRPr="00844BE5">
        <w:rPr>
          <w:rFonts w:ascii="Calibri" w:eastAsia="Times New Roman" w:hAnsi="Calibri" w:cs="Calibri"/>
          <w:color w:val="000000"/>
          <w:lang w:eastAsia="es-ES"/>
        </w:rPr>
        <w:t xml:space="preserve">, además de establecer acuerdos de nivel de servicio para definir la calidad del servicio contratado. </w:t>
      </w:r>
    </w:p>
    <w:p w14:paraId="775678E4" w14:textId="5696C553" w:rsidR="00F74E24" w:rsidRDefault="00EF21AE" w:rsidP="004E1182">
      <w:pPr>
        <w:autoSpaceDE w:val="0"/>
        <w:autoSpaceDN w:val="0"/>
        <w:adjustRightInd w:val="0"/>
        <w:spacing w:before="120"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E</w:t>
      </w:r>
      <w:r w:rsidR="004E1182">
        <w:rPr>
          <w:rFonts w:ascii="Calibri" w:eastAsia="Times New Roman" w:hAnsi="Calibri" w:cs="Calibri"/>
          <w:color w:val="000000"/>
          <w:lang w:eastAsia="es-ES"/>
        </w:rPr>
        <w:t>l contrato debe recoger con claridad las responsabilidades del proveedor y lo</w:t>
      </w:r>
      <w:r w:rsidR="00F74E24" w:rsidRPr="00844BE5">
        <w:rPr>
          <w:rFonts w:ascii="Calibri" w:eastAsia="Times New Roman" w:hAnsi="Calibri" w:cs="Calibri"/>
          <w:color w:val="000000"/>
          <w:lang w:eastAsia="es-ES"/>
        </w:rPr>
        <w:t>s niveles de seguridad de la información y los servicios afectados</w:t>
      </w:r>
      <w:r w:rsidR="004E1182">
        <w:rPr>
          <w:rFonts w:ascii="Calibri" w:eastAsia="Times New Roman" w:hAnsi="Calibri" w:cs="Calibri"/>
          <w:color w:val="000000"/>
          <w:lang w:eastAsia="es-ES"/>
        </w:rPr>
        <w:t xml:space="preserve">, </w:t>
      </w:r>
      <w:r w:rsidR="00F74E24" w:rsidRPr="00844BE5">
        <w:rPr>
          <w:rFonts w:ascii="Calibri" w:eastAsia="Times New Roman" w:hAnsi="Calibri" w:cs="Calibri"/>
          <w:color w:val="000000"/>
          <w:lang w:eastAsia="es-ES"/>
        </w:rPr>
        <w:t xml:space="preserve">de forma que el proveedor </w:t>
      </w:r>
      <w:r w:rsidR="004E1182">
        <w:rPr>
          <w:rFonts w:ascii="Calibri" w:eastAsia="Times New Roman" w:hAnsi="Calibri" w:cs="Calibri"/>
          <w:color w:val="000000"/>
          <w:lang w:eastAsia="es-ES"/>
        </w:rPr>
        <w:t>cuente con</w:t>
      </w:r>
      <w:r w:rsidR="00F74E24" w:rsidRPr="00844BE5">
        <w:rPr>
          <w:rFonts w:ascii="Calibri" w:eastAsia="Times New Roman" w:hAnsi="Calibri" w:cs="Calibri"/>
          <w:color w:val="000000"/>
          <w:lang w:eastAsia="es-ES"/>
        </w:rPr>
        <w:t xml:space="preserve"> las </w:t>
      </w:r>
      <w:r w:rsidR="00F06B59">
        <w:rPr>
          <w:rFonts w:ascii="Calibri" w:eastAsia="Times New Roman" w:hAnsi="Calibri" w:cs="Calibri"/>
          <w:color w:val="000000"/>
          <w:lang w:eastAsia="es-ES"/>
        </w:rPr>
        <w:t>medidas de seguridad oportunas</w:t>
      </w:r>
      <w:r w:rsidR="004E1182">
        <w:rPr>
          <w:rFonts w:ascii="Calibri" w:eastAsia="Times New Roman" w:hAnsi="Calibri" w:cs="Calibri"/>
          <w:color w:val="000000"/>
          <w:lang w:eastAsia="es-ES"/>
        </w:rPr>
        <w:t xml:space="preserve"> en cumplimiento de las diferentes leyes y normativas que le sean de aplicación</w:t>
      </w:r>
      <w:r w:rsidR="00F06B59">
        <w:rPr>
          <w:rFonts w:ascii="Calibri" w:eastAsia="Times New Roman" w:hAnsi="Calibri" w:cs="Calibri"/>
          <w:color w:val="000000"/>
          <w:lang w:eastAsia="es-ES"/>
        </w:rPr>
        <w:t>.</w:t>
      </w:r>
    </w:p>
    <w:p w14:paraId="500EC813" w14:textId="5430C071" w:rsidR="00F06B59" w:rsidRDefault="004E1182" w:rsidP="00844BE5">
      <w:pPr>
        <w:autoSpaceDE w:val="0"/>
        <w:autoSpaceDN w:val="0"/>
        <w:adjustRightInd w:val="0"/>
        <w:spacing w:before="120"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Además, e</w:t>
      </w:r>
      <w:r w:rsidR="00F06B59">
        <w:rPr>
          <w:rFonts w:ascii="Calibri" w:eastAsia="Times New Roman" w:hAnsi="Calibri" w:cs="Calibri"/>
          <w:color w:val="000000"/>
          <w:lang w:eastAsia="es-ES"/>
        </w:rPr>
        <w:t>s muy importante que el contrato (</w:t>
      </w:r>
      <w:r w:rsidR="000004B8">
        <w:rPr>
          <w:rFonts w:ascii="Calibri" w:eastAsia="Times New Roman" w:hAnsi="Calibri" w:cs="Calibri"/>
          <w:color w:val="000000"/>
          <w:lang w:eastAsia="es-ES"/>
        </w:rPr>
        <w:t>en los pliegos</w:t>
      </w:r>
      <w:r w:rsidR="00F06B59">
        <w:rPr>
          <w:rFonts w:ascii="Calibri" w:eastAsia="Times New Roman" w:hAnsi="Calibri" w:cs="Calibri"/>
          <w:color w:val="000000"/>
          <w:lang w:eastAsia="es-ES"/>
        </w:rPr>
        <w:t xml:space="preserve">) contemple de </w:t>
      </w:r>
      <w:r w:rsidR="00F06B59" w:rsidRPr="0080027A">
        <w:rPr>
          <w:rFonts w:ascii="Calibri" w:eastAsia="Times New Roman" w:hAnsi="Calibri" w:cs="Calibri"/>
          <w:b/>
          <w:color w:val="000000"/>
          <w:lang w:eastAsia="es-ES"/>
        </w:rPr>
        <w:t>forma explícita</w:t>
      </w:r>
      <w:r w:rsidR="00F06B59">
        <w:rPr>
          <w:rFonts w:ascii="Calibri" w:eastAsia="Times New Roman" w:hAnsi="Calibri" w:cs="Calibri"/>
          <w:color w:val="000000"/>
          <w:lang w:eastAsia="es-ES"/>
        </w:rPr>
        <w:t xml:space="preserve"> cómo la entidad contratante</w:t>
      </w:r>
      <w:r w:rsidR="003B1DF6">
        <w:rPr>
          <w:rFonts w:ascii="Calibri" w:eastAsia="Times New Roman" w:hAnsi="Calibri" w:cs="Calibri"/>
          <w:color w:val="000000"/>
          <w:lang w:eastAsia="es-ES"/>
        </w:rPr>
        <w:t>,</w:t>
      </w:r>
      <w:r w:rsidR="00F06B59">
        <w:rPr>
          <w:rFonts w:ascii="Calibri" w:eastAsia="Times New Roman" w:hAnsi="Calibri" w:cs="Calibri"/>
          <w:color w:val="000000"/>
          <w:lang w:eastAsia="es-ES"/>
        </w:rPr>
        <w:t xml:space="preserve"> que es la responsable de los posibles riesgos que afecten a la información y a los servicios prestados, va a controlar la forma de prestar tales servicios por el CSP.</w:t>
      </w:r>
    </w:p>
    <w:p w14:paraId="2D8985CA" w14:textId="5CC8CF98" w:rsidR="00F06B59" w:rsidRDefault="00F06B59" w:rsidP="00844BE5">
      <w:pPr>
        <w:autoSpaceDE w:val="0"/>
        <w:autoSpaceDN w:val="0"/>
        <w:adjustRightInd w:val="0"/>
        <w:spacing w:before="120" w:after="0" w:line="240" w:lineRule="auto"/>
        <w:jc w:val="both"/>
        <w:rPr>
          <w:rFonts w:ascii="Calibri" w:eastAsia="Times New Roman" w:hAnsi="Calibri" w:cs="Calibri"/>
          <w:color w:val="000000"/>
          <w:lang w:eastAsia="es-ES"/>
        </w:rPr>
      </w:pPr>
      <w:r>
        <w:rPr>
          <w:rFonts w:ascii="Calibri" w:eastAsia="Times New Roman" w:hAnsi="Calibri" w:cs="Calibri"/>
          <w:color w:val="000000"/>
          <w:lang w:eastAsia="es-ES"/>
        </w:rPr>
        <w:t xml:space="preserve">Para garantizar el cumplimiento de las medidas de seguridad aplicables, la entidad deberá disponer del </w:t>
      </w:r>
      <w:r w:rsidRPr="000004B8">
        <w:rPr>
          <w:rFonts w:ascii="Calibri" w:eastAsia="Times New Roman" w:hAnsi="Calibri" w:cs="Calibri"/>
          <w:b/>
          <w:color w:val="000000"/>
          <w:lang w:eastAsia="es-ES"/>
        </w:rPr>
        <w:t>derecho de auditoría sobre el CSP</w:t>
      </w:r>
      <w:r>
        <w:rPr>
          <w:rFonts w:ascii="Calibri" w:eastAsia="Times New Roman" w:hAnsi="Calibri" w:cs="Calibri"/>
          <w:color w:val="000000"/>
          <w:lang w:eastAsia="es-ES"/>
        </w:rPr>
        <w:t xml:space="preserve"> o exigir:</w:t>
      </w:r>
    </w:p>
    <w:p w14:paraId="5E1E1746" w14:textId="4D00A311" w:rsidR="00F06B59" w:rsidRPr="00844BE5" w:rsidRDefault="00F06B59" w:rsidP="002E3312">
      <w:pPr>
        <w:pStyle w:val="Prrafodelista"/>
        <w:numPr>
          <w:ilvl w:val="0"/>
          <w:numId w:val="17"/>
        </w:numPr>
        <w:autoSpaceDE w:val="0"/>
        <w:autoSpaceDN w:val="0"/>
        <w:adjustRightInd w:val="0"/>
        <w:spacing w:before="120" w:after="0" w:line="240" w:lineRule="auto"/>
        <w:ind w:left="284" w:hanging="284"/>
        <w:contextualSpacing w:val="0"/>
        <w:jc w:val="both"/>
        <w:rPr>
          <w:rFonts w:ascii="Calibri" w:hAnsi="Calibri" w:cs="Calibri"/>
          <w:lang w:val="es"/>
        </w:rPr>
      </w:pPr>
      <w:r w:rsidRPr="00844BE5">
        <w:rPr>
          <w:rFonts w:ascii="Calibri" w:hAnsi="Calibri" w:cs="Calibri"/>
          <w:lang w:val="es"/>
        </w:rPr>
        <w:t>Declaración de aplicabilidad de medidas a aplicar</w:t>
      </w:r>
      <w:r w:rsidR="000004B8">
        <w:rPr>
          <w:rFonts w:ascii="Calibri" w:hAnsi="Calibri" w:cs="Calibri"/>
          <w:lang w:val="es"/>
        </w:rPr>
        <w:t>.</w:t>
      </w:r>
    </w:p>
    <w:p w14:paraId="436FD27D" w14:textId="5F56ABA3" w:rsidR="00F06B59" w:rsidRPr="00844BE5" w:rsidRDefault="00F06B59" w:rsidP="002E3312">
      <w:pPr>
        <w:pStyle w:val="Prrafodelista"/>
        <w:numPr>
          <w:ilvl w:val="0"/>
          <w:numId w:val="17"/>
        </w:numPr>
        <w:autoSpaceDE w:val="0"/>
        <w:autoSpaceDN w:val="0"/>
        <w:adjustRightInd w:val="0"/>
        <w:spacing w:before="120" w:after="0" w:line="240" w:lineRule="auto"/>
        <w:ind w:left="284" w:hanging="284"/>
        <w:contextualSpacing w:val="0"/>
        <w:jc w:val="both"/>
        <w:rPr>
          <w:rFonts w:ascii="Calibri" w:hAnsi="Calibri" w:cs="Calibri"/>
          <w:lang w:val="es"/>
        </w:rPr>
      </w:pPr>
      <w:r w:rsidRPr="00844BE5">
        <w:rPr>
          <w:rFonts w:ascii="Calibri" w:hAnsi="Calibri" w:cs="Calibri"/>
          <w:lang w:val="es"/>
        </w:rPr>
        <w:t>Auditoría que verifique con evidencias el cumplimiento de las medidas del Anexo II del ENS que sean de aplicación de acuerdo con el nivel del sistema</w:t>
      </w:r>
      <w:r w:rsidR="000004B8">
        <w:rPr>
          <w:rFonts w:ascii="Calibri" w:hAnsi="Calibri" w:cs="Calibri"/>
          <w:lang w:val="es"/>
        </w:rPr>
        <w:t xml:space="preserve"> (el ENS es aplicable a una empresa privada contratada por un ente público).</w:t>
      </w:r>
    </w:p>
    <w:p w14:paraId="33EADB21" w14:textId="454CC0DB" w:rsidR="00F06B59" w:rsidRPr="00844BE5" w:rsidRDefault="00F06B59" w:rsidP="002E3312">
      <w:pPr>
        <w:pStyle w:val="Prrafodelista"/>
        <w:numPr>
          <w:ilvl w:val="0"/>
          <w:numId w:val="17"/>
        </w:numPr>
        <w:autoSpaceDE w:val="0"/>
        <w:autoSpaceDN w:val="0"/>
        <w:adjustRightInd w:val="0"/>
        <w:spacing w:before="120" w:after="0" w:line="240" w:lineRule="auto"/>
        <w:ind w:left="284" w:hanging="284"/>
        <w:contextualSpacing w:val="0"/>
        <w:jc w:val="both"/>
        <w:rPr>
          <w:rFonts w:ascii="Calibri" w:hAnsi="Calibri" w:cs="Calibri"/>
          <w:lang w:val="es"/>
        </w:rPr>
      </w:pPr>
      <w:r w:rsidRPr="00844BE5">
        <w:rPr>
          <w:rFonts w:ascii="Calibri" w:hAnsi="Calibri" w:cs="Calibri"/>
          <w:lang w:val="es"/>
        </w:rPr>
        <w:t>Auditorías de cumplimiento normativo para satisfacer requisitos de seguridad de información</w:t>
      </w:r>
      <w:r w:rsidR="000004B8">
        <w:rPr>
          <w:rFonts w:ascii="Calibri" w:hAnsi="Calibri" w:cs="Calibri"/>
          <w:lang w:val="es"/>
        </w:rPr>
        <w:t>.</w:t>
      </w:r>
    </w:p>
    <w:p w14:paraId="53E55309" w14:textId="385C599A" w:rsidR="00F06B59" w:rsidRDefault="00F06B59" w:rsidP="002E3312">
      <w:pPr>
        <w:pStyle w:val="Prrafodelista"/>
        <w:numPr>
          <w:ilvl w:val="0"/>
          <w:numId w:val="17"/>
        </w:numPr>
        <w:autoSpaceDE w:val="0"/>
        <w:autoSpaceDN w:val="0"/>
        <w:adjustRightInd w:val="0"/>
        <w:spacing w:before="120" w:after="0" w:line="240" w:lineRule="auto"/>
        <w:ind w:left="284" w:hanging="284"/>
        <w:contextualSpacing w:val="0"/>
        <w:jc w:val="both"/>
        <w:rPr>
          <w:rFonts w:ascii="Calibri" w:hAnsi="Calibri" w:cs="Calibri"/>
          <w:lang w:val="es"/>
        </w:rPr>
      </w:pPr>
      <w:r w:rsidRPr="00844BE5">
        <w:rPr>
          <w:rFonts w:ascii="Calibri" w:hAnsi="Calibri" w:cs="Calibri"/>
          <w:lang w:val="es"/>
        </w:rPr>
        <w:t>Otras certificaciones o acreditaciones en materia de seguridad</w:t>
      </w:r>
      <w:r w:rsidR="0080027A">
        <w:rPr>
          <w:rFonts w:ascii="Calibri" w:hAnsi="Calibri" w:cs="Calibri"/>
          <w:lang w:val="es"/>
        </w:rPr>
        <w:t xml:space="preserve"> en función de la actividad de la entidad y de los datos almacenados (por ejemplo</w:t>
      </w:r>
      <w:r w:rsidR="001043E1">
        <w:rPr>
          <w:rFonts w:ascii="Calibri" w:hAnsi="Calibri" w:cs="Calibri"/>
          <w:lang w:val="es"/>
        </w:rPr>
        <w:t xml:space="preserve">, de cumplimiento del ENS, de adecuación a la LOPD, la auditoría de </w:t>
      </w:r>
      <w:r w:rsidR="0080027A">
        <w:rPr>
          <w:rFonts w:ascii="Calibri" w:hAnsi="Calibri" w:cs="Calibri"/>
          <w:lang w:val="es"/>
        </w:rPr>
        <w:t>PC</w:t>
      </w:r>
      <w:r w:rsidR="00AE289D">
        <w:rPr>
          <w:rFonts w:ascii="Calibri" w:hAnsi="Calibri" w:cs="Calibri"/>
          <w:lang w:val="es"/>
        </w:rPr>
        <w:t>I</w:t>
      </w:r>
      <w:r w:rsidR="0080027A">
        <w:rPr>
          <w:rFonts w:ascii="Calibri" w:hAnsi="Calibri" w:cs="Calibri"/>
          <w:lang w:val="es"/>
        </w:rPr>
        <w:t>/</w:t>
      </w:r>
      <w:r w:rsidR="004A2F75">
        <w:rPr>
          <w:rFonts w:ascii="Calibri" w:hAnsi="Calibri" w:cs="Calibri"/>
          <w:lang w:val="es"/>
        </w:rPr>
        <w:t>D</w:t>
      </w:r>
      <w:r w:rsidR="0080027A">
        <w:rPr>
          <w:rFonts w:ascii="Calibri" w:hAnsi="Calibri" w:cs="Calibri"/>
          <w:lang w:val="es"/>
        </w:rPr>
        <w:t>SS</w:t>
      </w:r>
      <w:r w:rsidR="001043E1">
        <w:rPr>
          <w:rStyle w:val="Refdenotaalpie"/>
          <w:rFonts w:ascii="Calibri" w:hAnsi="Calibri" w:cs="Calibri"/>
          <w:lang w:val="es"/>
        </w:rPr>
        <w:footnoteReference w:id="11"/>
      </w:r>
      <w:r w:rsidR="001043E1">
        <w:rPr>
          <w:rFonts w:ascii="Calibri" w:hAnsi="Calibri" w:cs="Calibri"/>
          <w:lang w:val="es"/>
        </w:rPr>
        <w:t>, ISO 27000 de Gestión de Seguridad de la Información, etc.</w:t>
      </w:r>
      <w:r w:rsidR="0080027A">
        <w:rPr>
          <w:rFonts w:ascii="Calibri" w:hAnsi="Calibri" w:cs="Calibri"/>
          <w:lang w:val="es"/>
        </w:rPr>
        <w:t>).</w:t>
      </w:r>
    </w:p>
    <w:p w14:paraId="71403847" w14:textId="301CA2F7" w:rsidR="000004B8" w:rsidRDefault="000004B8" w:rsidP="000004B8">
      <w:pPr>
        <w:autoSpaceDE w:val="0"/>
        <w:autoSpaceDN w:val="0"/>
        <w:adjustRightInd w:val="0"/>
        <w:spacing w:before="120" w:after="0" w:line="240" w:lineRule="auto"/>
        <w:jc w:val="both"/>
        <w:rPr>
          <w:rFonts w:ascii="Calibri" w:hAnsi="Calibri" w:cs="Calibri"/>
          <w:lang w:val="es"/>
        </w:rPr>
      </w:pPr>
      <w:r>
        <w:rPr>
          <w:rFonts w:ascii="Calibri" w:hAnsi="Calibri" w:cs="Calibri"/>
          <w:lang w:val="es"/>
        </w:rPr>
        <w:t>Cuando no se recoja esta exigencia en los PCAP deberemos considerarlo un grave defecto de control inte</w:t>
      </w:r>
      <w:r w:rsidR="0080027A">
        <w:rPr>
          <w:rFonts w:ascii="Calibri" w:hAnsi="Calibri" w:cs="Calibri"/>
          <w:lang w:val="es"/>
        </w:rPr>
        <w:t>rno y un incumplimiento del ENS, tanto más grave cuanto más crítico o relevante sea el sistema o servicio afectado.</w:t>
      </w:r>
    </w:p>
    <w:p w14:paraId="55A4A882" w14:textId="56C95636" w:rsidR="004E1182" w:rsidRPr="000004B8" w:rsidRDefault="004E1182" w:rsidP="000004B8">
      <w:pPr>
        <w:autoSpaceDE w:val="0"/>
        <w:autoSpaceDN w:val="0"/>
        <w:adjustRightInd w:val="0"/>
        <w:spacing w:before="120" w:after="0" w:line="240" w:lineRule="auto"/>
        <w:jc w:val="both"/>
        <w:rPr>
          <w:rFonts w:ascii="Calibri" w:hAnsi="Calibri" w:cs="Calibri"/>
          <w:lang w:val="es"/>
        </w:rPr>
      </w:pPr>
      <w:r>
        <w:rPr>
          <w:rFonts w:ascii="Calibri" w:hAnsi="Calibri" w:cs="Calibri"/>
          <w:lang w:val="es"/>
        </w:rPr>
        <w:t xml:space="preserve">Por tanto, dado que en la contratación de un servicio cloud muchos de los aspectos que determinarán la seguridad de la información y el cumplimiento legal y regulatorio vendrán determinados por lo recogido en el contrato del servicio, la revisión de éste es un punto fundamental en el trabajo de auditoría. En el </w:t>
      </w:r>
      <w:r w:rsidRPr="00DF5F6F">
        <w:rPr>
          <w:rFonts w:ascii="Calibri" w:hAnsi="Calibri" w:cs="Calibri"/>
          <w:b/>
          <w:lang w:val="es"/>
        </w:rPr>
        <w:t>Anexo 2</w:t>
      </w:r>
      <w:r>
        <w:rPr>
          <w:rFonts w:ascii="Calibri" w:hAnsi="Calibri" w:cs="Calibri"/>
          <w:lang w:val="es"/>
        </w:rPr>
        <w:t xml:space="preserve"> se incluye una guía para realizar dicha revisión.</w:t>
      </w:r>
    </w:p>
    <w:p w14:paraId="1B90AA69" w14:textId="77777777" w:rsidR="00E34116" w:rsidRDefault="00E34116">
      <w:pPr>
        <w:rPr>
          <w:rFonts w:cstheme="minorHAnsi"/>
          <w:b/>
        </w:rPr>
      </w:pPr>
      <w:r>
        <w:rPr>
          <w:rFonts w:cstheme="minorHAnsi"/>
          <w:b/>
        </w:rPr>
        <w:br w:type="page"/>
      </w:r>
    </w:p>
    <w:p w14:paraId="68530D84" w14:textId="0FE33C65" w:rsidR="00585896" w:rsidRPr="00844BE5" w:rsidRDefault="00585896" w:rsidP="00585896">
      <w:pPr>
        <w:pStyle w:val="Prrafodelista"/>
        <w:numPr>
          <w:ilvl w:val="0"/>
          <w:numId w:val="4"/>
        </w:numPr>
        <w:spacing w:before="120" w:after="0" w:line="240" w:lineRule="auto"/>
        <w:ind w:left="567" w:hanging="567"/>
        <w:contextualSpacing w:val="0"/>
        <w:jc w:val="both"/>
        <w:rPr>
          <w:rFonts w:cstheme="minorHAnsi"/>
          <w:b/>
        </w:rPr>
      </w:pPr>
      <w:r>
        <w:rPr>
          <w:rFonts w:cstheme="minorHAnsi"/>
          <w:b/>
        </w:rPr>
        <w:lastRenderedPageBreak/>
        <w:t>Consideraciones que debe</w:t>
      </w:r>
      <w:r w:rsidR="003B1DF6">
        <w:rPr>
          <w:rFonts w:cstheme="minorHAnsi"/>
          <w:b/>
        </w:rPr>
        <w:t>n</w:t>
      </w:r>
      <w:r>
        <w:rPr>
          <w:rFonts w:cstheme="minorHAnsi"/>
          <w:b/>
        </w:rPr>
        <w:t xml:space="preserve"> realizar</w:t>
      </w:r>
      <w:r w:rsidR="003B1DF6">
        <w:rPr>
          <w:rFonts w:cstheme="minorHAnsi"/>
          <w:b/>
        </w:rPr>
        <w:t>se en una auditoría financiera</w:t>
      </w:r>
    </w:p>
    <w:p w14:paraId="553A7BC2" w14:textId="4BE2CB8E" w:rsidR="00585896" w:rsidRDefault="00585896" w:rsidP="00585896">
      <w:pPr>
        <w:autoSpaceDE w:val="0"/>
        <w:autoSpaceDN w:val="0"/>
        <w:adjustRightInd w:val="0"/>
        <w:spacing w:before="120" w:after="0" w:line="240" w:lineRule="auto"/>
        <w:jc w:val="both"/>
        <w:rPr>
          <w:rFonts w:cstheme="minorHAnsi"/>
        </w:rPr>
      </w:pPr>
      <w:r>
        <w:rPr>
          <w:rFonts w:cstheme="minorHAnsi"/>
        </w:rPr>
        <w:t>Un auditor debe, como parte esencial de sus procedimientos de auditoría</w:t>
      </w:r>
      <w:r w:rsidR="00543E12">
        <w:rPr>
          <w:rFonts w:cstheme="minorHAnsi"/>
        </w:rPr>
        <w:t xml:space="preserve"> financiera</w:t>
      </w:r>
      <w:r>
        <w:rPr>
          <w:rFonts w:cstheme="minorHAnsi"/>
        </w:rPr>
        <w:t>, conocer el sistema de información y de control interno de la entidad auditada, identificar riesgos y controles</w:t>
      </w:r>
      <w:r w:rsidR="00543E12">
        <w:rPr>
          <w:rFonts w:cstheme="minorHAnsi"/>
        </w:rPr>
        <w:t>, incluidos los TIC</w:t>
      </w:r>
      <w:r w:rsidR="003973BC">
        <w:rPr>
          <w:rFonts w:cstheme="minorHAnsi"/>
        </w:rPr>
        <w:t>,</w:t>
      </w:r>
      <w:r>
        <w:rPr>
          <w:rFonts w:cstheme="minorHAnsi"/>
        </w:rPr>
        <w:t xml:space="preserve"> y diseñar y ejecutar las pruebas pertinentes. En la medida que alguna de las áreas significativas para la auditoría (por ejemplo, la gestión tributaria en un ayuntamiento</w:t>
      </w:r>
      <w:r w:rsidR="0080027A">
        <w:rPr>
          <w:rFonts w:cstheme="minorHAnsi"/>
        </w:rPr>
        <w:t xml:space="preserve"> o la de gestión económica y contable en una entidad</w:t>
      </w:r>
      <w:r>
        <w:rPr>
          <w:rFonts w:cstheme="minorHAnsi"/>
        </w:rPr>
        <w:t>) se gestione mediante aplicaciones en la nube, el auditor deberá adaptar convenientemente sus procedimientos para tener en cuenta las características y riesgos específicos de este entorno tecnológico. Un entorno cloud no es sino una p</w:t>
      </w:r>
      <w:r w:rsidR="0080027A">
        <w:rPr>
          <w:rFonts w:cstheme="minorHAnsi"/>
        </w:rPr>
        <w:t>articularidad de un entorno TIC, con sus características y riesgos específicos.</w:t>
      </w:r>
    </w:p>
    <w:p w14:paraId="4603930D" w14:textId="4F75A010" w:rsidR="00E86E6C" w:rsidRDefault="001C2CBC" w:rsidP="00F06B59">
      <w:pPr>
        <w:spacing w:before="120" w:after="0" w:line="240" w:lineRule="auto"/>
        <w:jc w:val="both"/>
        <w:rPr>
          <w:rFonts w:ascii="Calibri" w:hAnsi="Calibri" w:cs="Calibri"/>
        </w:rPr>
      </w:pPr>
      <w:r>
        <w:rPr>
          <w:rFonts w:ascii="Calibri" w:hAnsi="Calibri" w:cs="Calibri"/>
        </w:rPr>
        <w:t xml:space="preserve">El objetivo de una auditoría financiera no varía por el hecho de que una entidad tenga varios servicios y aplicaciones significativas operando en la nube mediante un contrato de servicios con un CSP. </w:t>
      </w:r>
      <w:r w:rsidR="00543E12">
        <w:rPr>
          <w:rFonts w:ascii="Calibri" w:hAnsi="Calibri" w:cs="Calibri"/>
        </w:rPr>
        <w:t>Con carácter general</w:t>
      </w:r>
      <w:r w:rsidR="00D4109E">
        <w:rPr>
          <w:rFonts w:ascii="Calibri" w:hAnsi="Calibri" w:cs="Calibri"/>
        </w:rPr>
        <w:t>,</w:t>
      </w:r>
      <w:r w:rsidR="00543E12">
        <w:rPr>
          <w:rFonts w:ascii="Calibri" w:hAnsi="Calibri" w:cs="Calibri"/>
        </w:rPr>
        <w:t xml:space="preserve"> e</w:t>
      </w:r>
      <w:r>
        <w:rPr>
          <w:rFonts w:ascii="Calibri" w:hAnsi="Calibri" w:cs="Calibri"/>
        </w:rPr>
        <w:t>l desarrollo de la auditoría debe seguir</w:t>
      </w:r>
      <w:r w:rsidR="00543E12">
        <w:rPr>
          <w:rFonts w:ascii="Calibri" w:hAnsi="Calibri" w:cs="Calibri"/>
        </w:rPr>
        <w:t xml:space="preserve"> </w:t>
      </w:r>
      <w:r>
        <w:rPr>
          <w:rFonts w:ascii="Calibri" w:hAnsi="Calibri" w:cs="Calibri"/>
        </w:rPr>
        <w:t>las siguientes etapas</w:t>
      </w:r>
      <w:r w:rsidR="00543E12">
        <w:rPr>
          <w:rStyle w:val="Refdenotaalpie"/>
          <w:rFonts w:ascii="Calibri" w:hAnsi="Calibri" w:cs="Calibri"/>
        </w:rPr>
        <w:footnoteReference w:id="12"/>
      </w:r>
      <w:r>
        <w:rPr>
          <w:rFonts w:ascii="Calibri" w:hAnsi="Calibri" w:cs="Calibri"/>
        </w:rPr>
        <w:t>:</w:t>
      </w:r>
    </w:p>
    <w:p w14:paraId="16E887DB" w14:textId="36D7F787" w:rsidR="00CF4D6D" w:rsidRDefault="006C194E" w:rsidP="00F06B59">
      <w:pPr>
        <w:spacing w:before="120" w:after="0" w:line="240" w:lineRule="auto"/>
        <w:jc w:val="both"/>
        <w:rPr>
          <w:rFonts w:ascii="Calibri" w:hAnsi="Calibri" w:cs="Calibri"/>
        </w:rPr>
      </w:pPr>
      <w:r w:rsidRPr="0031269C">
        <w:rPr>
          <w:noProof/>
          <w:lang w:eastAsia="es-ES"/>
        </w:rPr>
        <w:drawing>
          <wp:inline distT="0" distB="0" distL="0" distR="0" wp14:anchorId="163FD667" wp14:editId="2A10F786">
            <wp:extent cx="5047439" cy="2965371"/>
            <wp:effectExtent l="247650" t="247650" r="287020" b="2927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72800" cy="2980271"/>
                    </a:xfrm>
                    <a:prstGeom prst="rect">
                      <a:avLst/>
                    </a:prstGeom>
                    <a:ln>
                      <a:noFill/>
                    </a:ln>
                    <a:effectLst>
                      <a:outerShdw blurRad="292100" dist="25400" dir="2700000" algn="tl" rotWithShape="0">
                        <a:srgbClr val="333333">
                          <a:alpha val="65000"/>
                        </a:srgbClr>
                      </a:outerShdw>
                    </a:effectLst>
                  </pic:spPr>
                </pic:pic>
              </a:graphicData>
            </a:graphic>
          </wp:inline>
        </w:drawing>
      </w:r>
    </w:p>
    <w:p w14:paraId="2E0B1961" w14:textId="5BB4C7FC" w:rsidR="00E86E6C" w:rsidRDefault="00B31F72" w:rsidP="00F06B59">
      <w:pPr>
        <w:spacing w:before="120" w:after="0" w:line="240" w:lineRule="auto"/>
        <w:jc w:val="both"/>
        <w:rPr>
          <w:rFonts w:ascii="Calibri" w:hAnsi="Calibri" w:cs="Calibri"/>
        </w:rPr>
      </w:pPr>
      <w:r>
        <w:rPr>
          <w:rFonts w:ascii="Calibri" w:hAnsi="Calibri" w:cs="Calibri"/>
        </w:rPr>
        <w:t>De acuerdo con el enfoque de riesgo y lo previsto en la NIA-ES 315/GPF-OCEX 1315</w:t>
      </w:r>
      <w:r w:rsidR="004A2F75">
        <w:rPr>
          <w:rFonts w:ascii="Calibri" w:hAnsi="Calibri" w:cs="Calibri"/>
        </w:rPr>
        <w:t>/1316</w:t>
      </w:r>
      <w:r w:rsidR="002A1F60">
        <w:rPr>
          <w:rFonts w:ascii="Calibri" w:hAnsi="Calibri" w:cs="Calibri"/>
        </w:rPr>
        <w:t xml:space="preserve">, </w:t>
      </w:r>
      <w:r w:rsidR="002A1F60" w:rsidRPr="002A1F60">
        <w:rPr>
          <w:rFonts w:ascii="Calibri" w:hAnsi="Calibri" w:cs="Calibri"/>
          <w:i/>
        </w:rPr>
        <w:t>Identificación y valoración de los riesgos de incorrección material mediante el conocimiento de la entidad y de su entorno</w:t>
      </w:r>
      <w:r w:rsidR="00D4109E">
        <w:rPr>
          <w:rFonts w:ascii="Calibri" w:hAnsi="Calibri" w:cs="Calibri"/>
        </w:rPr>
        <w:t>,</w:t>
      </w:r>
      <w:r>
        <w:rPr>
          <w:rFonts w:ascii="Calibri" w:hAnsi="Calibri" w:cs="Calibri"/>
        </w:rPr>
        <w:t xml:space="preserve"> el auditor deberá tener en cuenta en cada etapa de la auditoría el efecto sobre su trabajo del hecho de que una parte de la gestión del ente auditado esté soportada mediante </w:t>
      </w:r>
      <w:r w:rsidR="0080027A">
        <w:rPr>
          <w:rFonts w:ascii="Calibri" w:hAnsi="Calibri" w:cs="Calibri"/>
        </w:rPr>
        <w:t>sistemas TI y</w:t>
      </w:r>
      <w:r w:rsidR="00AE289D">
        <w:rPr>
          <w:rFonts w:ascii="Calibri" w:hAnsi="Calibri" w:cs="Calibri"/>
        </w:rPr>
        <w:t>,</w:t>
      </w:r>
      <w:r w:rsidR="0080027A">
        <w:rPr>
          <w:rFonts w:ascii="Calibri" w:hAnsi="Calibri" w:cs="Calibri"/>
        </w:rPr>
        <w:t xml:space="preserve"> si fuera el caso</w:t>
      </w:r>
      <w:r w:rsidR="00AE289D">
        <w:rPr>
          <w:rFonts w:ascii="Calibri" w:hAnsi="Calibri" w:cs="Calibri"/>
        </w:rPr>
        <w:t>,</w:t>
      </w:r>
      <w:r w:rsidR="0080027A">
        <w:rPr>
          <w:rFonts w:ascii="Calibri" w:hAnsi="Calibri" w:cs="Calibri"/>
        </w:rPr>
        <w:t xml:space="preserve"> mediante </w:t>
      </w:r>
      <w:r>
        <w:rPr>
          <w:rFonts w:ascii="Calibri" w:hAnsi="Calibri" w:cs="Calibri"/>
        </w:rPr>
        <w:t>el procesamiento en la nube.</w:t>
      </w:r>
    </w:p>
    <w:p w14:paraId="03A3A4A1" w14:textId="7E7102C3" w:rsidR="003B1DF6" w:rsidRPr="007B1A3D" w:rsidRDefault="003B1DF6" w:rsidP="003B1DF6">
      <w:pPr>
        <w:autoSpaceDE w:val="0"/>
        <w:autoSpaceDN w:val="0"/>
        <w:adjustRightInd w:val="0"/>
        <w:spacing w:before="120" w:after="120" w:line="240" w:lineRule="auto"/>
        <w:jc w:val="both"/>
        <w:rPr>
          <w:rFonts w:eastAsia="Times New Roman" w:cstheme="minorHAnsi"/>
          <w:color w:val="000000"/>
          <w:szCs w:val="20"/>
          <w:lang w:eastAsia="es-ES"/>
        </w:rPr>
      </w:pPr>
      <w:r>
        <w:rPr>
          <w:rFonts w:eastAsia="Times New Roman" w:cstheme="minorHAnsi"/>
          <w:color w:val="000000"/>
          <w:szCs w:val="20"/>
          <w:lang w:eastAsia="es-ES"/>
        </w:rPr>
        <w:t>L</w:t>
      </w:r>
      <w:r w:rsidRPr="007B1A3D">
        <w:rPr>
          <w:rFonts w:eastAsia="Times New Roman" w:cstheme="minorHAnsi"/>
          <w:color w:val="000000"/>
          <w:szCs w:val="20"/>
          <w:lang w:eastAsia="es-ES"/>
        </w:rPr>
        <w:t xml:space="preserve">a auditoría en entornos </w:t>
      </w:r>
      <w:r w:rsidR="00D4109E">
        <w:rPr>
          <w:rFonts w:eastAsia="Times New Roman" w:cstheme="minorHAnsi"/>
          <w:color w:val="000000"/>
          <w:szCs w:val="20"/>
          <w:lang w:eastAsia="es-ES"/>
        </w:rPr>
        <w:t>cloud</w:t>
      </w:r>
      <w:r w:rsidRPr="007B1A3D">
        <w:rPr>
          <w:rFonts w:eastAsia="Times New Roman" w:cstheme="minorHAnsi"/>
          <w:color w:val="000000"/>
          <w:szCs w:val="20"/>
          <w:lang w:eastAsia="es-ES"/>
        </w:rPr>
        <w:t xml:space="preserve"> debe</w:t>
      </w:r>
      <w:r>
        <w:rPr>
          <w:rFonts w:eastAsia="Times New Roman" w:cstheme="minorHAnsi"/>
          <w:color w:val="000000"/>
          <w:szCs w:val="20"/>
          <w:lang w:eastAsia="es-ES"/>
        </w:rPr>
        <w:t xml:space="preserve"> </w:t>
      </w:r>
      <w:r w:rsidRPr="007B1A3D">
        <w:rPr>
          <w:rFonts w:eastAsia="Times New Roman" w:cstheme="minorHAnsi"/>
          <w:color w:val="000000"/>
          <w:szCs w:val="20"/>
          <w:lang w:eastAsia="es-ES"/>
        </w:rPr>
        <w:t>orientarse en principio a la evaluación de riesgos y controles derivados de su</w:t>
      </w:r>
      <w:r>
        <w:rPr>
          <w:rFonts w:eastAsia="Times New Roman" w:cstheme="minorHAnsi"/>
          <w:color w:val="000000"/>
          <w:szCs w:val="20"/>
          <w:lang w:eastAsia="es-ES"/>
        </w:rPr>
        <w:t xml:space="preserve"> </w:t>
      </w:r>
      <w:r w:rsidRPr="007B1A3D">
        <w:rPr>
          <w:rFonts w:eastAsia="Times New Roman" w:cstheme="minorHAnsi"/>
          <w:color w:val="000000"/>
          <w:szCs w:val="20"/>
          <w:lang w:eastAsia="es-ES"/>
        </w:rPr>
        <w:t>uso por el ente auditado y al grado de seguridad (confidencialidad, integridad</w:t>
      </w:r>
      <w:r>
        <w:rPr>
          <w:rFonts w:eastAsia="Times New Roman" w:cstheme="minorHAnsi"/>
          <w:color w:val="000000"/>
          <w:szCs w:val="20"/>
          <w:lang w:eastAsia="es-ES"/>
        </w:rPr>
        <w:t xml:space="preserve"> </w:t>
      </w:r>
      <w:r w:rsidRPr="007B1A3D">
        <w:rPr>
          <w:rFonts w:eastAsia="Times New Roman" w:cstheme="minorHAnsi"/>
          <w:color w:val="000000"/>
          <w:szCs w:val="20"/>
          <w:lang w:eastAsia="es-ES"/>
        </w:rPr>
        <w:t>y disponibilidad) brindado para la elaboración de la información financiera.</w:t>
      </w:r>
    </w:p>
    <w:p w14:paraId="2162DBA4" w14:textId="49D5129E" w:rsidR="003B1DF6" w:rsidRDefault="003B1DF6" w:rsidP="003B1DF6">
      <w:pPr>
        <w:spacing w:before="120" w:after="0" w:line="240" w:lineRule="auto"/>
        <w:jc w:val="both"/>
        <w:rPr>
          <w:rFonts w:ascii="Calibri" w:hAnsi="Calibri" w:cs="Calibri"/>
        </w:rPr>
      </w:pPr>
      <w:r w:rsidRPr="00844BE5">
        <w:rPr>
          <w:rFonts w:ascii="Calibri" w:hAnsi="Calibri" w:cs="Calibri"/>
        </w:rPr>
        <w:t>Será necesario concretar qué sistemas van a revisarse. Por tanto</w:t>
      </w:r>
      <w:r w:rsidRPr="00844BE5">
        <w:rPr>
          <w:rFonts w:ascii="Calibri" w:hAnsi="Calibri" w:cs="Calibri"/>
          <w:b/>
        </w:rPr>
        <w:t>, en la planificación de cada trabajo de revisión de entornos cloud se definirá el alcance concreto</w:t>
      </w:r>
      <w:r w:rsidRPr="00844BE5">
        <w:rPr>
          <w:rFonts w:ascii="Calibri" w:hAnsi="Calibri" w:cs="Calibri"/>
        </w:rPr>
        <w:t xml:space="preserve"> del mismo de acuerdo con los objetivos </w:t>
      </w:r>
      <w:r w:rsidR="0080027A">
        <w:rPr>
          <w:rFonts w:ascii="Calibri" w:hAnsi="Calibri" w:cs="Calibri"/>
        </w:rPr>
        <w:t>de la auditoría</w:t>
      </w:r>
      <w:r w:rsidRPr="00844BE5">
        <w:rPr>
          <w:rFonts w:ascii="Calibri" w:hAnsi="Calibri" w:cs="Calibri"/>
        </w:rPr>
        <w:t>.</w:t>
      </w:r>
    </w:p>
    <w:p w14:paraId="13413B02" w14:textId="77777777" w:rsidR="00543E12" w:rsidRDefault="00543E12" w:rsidP="00543E12">
      <w:pPr>
        <w:autoSpaceDE w:val="0"/>
        <w:autoSpaceDN w:val="0"/>
        <w:adjustRightInd w:val="0"/>
        <w:spacing w:before="120" w:after="0" w:line="240" w:lineRule="auto"/>
        <w:jc w:val="both"/>
        <w:rPr>
          <w:rFonts w:cstheme="minorHAnsi"/>
        </w:rPr>
      </w:pPr>
      <w:r>
        <w:rPr>
          <w:rFonts w:cstheme="minorHAnsi"/>
        </w:rPr>
        <w:t>Los principales aspectos de una auditoría financiera que se ven afectados por un entorno cloud son:</w:t>
      </w:r>
    </w:p>
    <w:p w14:paraId="488178CB" w14:textId="51BDFEA8" w:rsidR="00543E12" w:rsidRDefault="00543E12" w:rsidP="00543E12">
      <w:pPr>
        <w:pStyle w:val="Prrafodelista"/>
        <w:numPr>
          <w:ilvl w:val="3"/>
          <w:numId w:val="23"/>
        </w:numPr>
        <w:autoSpaceDE w:val="0"/>
        <w:autoSpaceDN w:val="0"/>
        <w:adjustRightInd w:val="0"/>
        <w:spacing w:before="120" w:after="0" w:line="240" w:lineRule="auto"/>
        <w:ind w:left="284" w:hanging="284"/>
        <w:contextualSpacing w:val="0"/>
        <w:jc w:val="both"/>
        <w:rPr>
          <w:rFonts w:cstheme="minorHAnsi"/>
        </w:rPr>
      </w:pPr>
      <w:r>
        <w:rPr>
          <w:rFonts w:cstheme="minorHAnsi"/>
        </w:rPr>
        <w:lastRenderedPageBreak/>
        <w:t>El conocimiento de la entidad auditada</w:t>
      </w:r>
      <w:r w:rsidR="00D4109E">
        <w:rPr>
          <w:rFonts w:cstheme="minorHAnsi"/>
        </w:rPr>
        <w:t>,</w:t>
      </w:r>
      <w:r>
        <w:rPr>
          <w:rFonts w:cstheme="minorHAnsi"/>
        </w:rPr>
        <w:t xml:space="preserve"> incluyendo </w:t>
      </w:r>
      <w:r w:rsidR="004E1182">
        <w:rPr>
          <w:rFonts w:cstheme="minorHAnsi"/>
        </w:rPr>
        <w:t xml:space="preserve">sus sistemas </w:t>
      </w:r>
      <w:r>
        <w:rPr>
          <w:rFonts w:cstheme="minorHAnsi"/>
        </w:rPr>
        <w:t>de información y de control interno.</w:t>
      </w:r>
    </w:p>
    <w:p w14:paraId="2A03DF03" w14:textId="77777777" w:rsidR="00543E12" w:rsidRDefault="00543E12" w:rsidP="00543E12">
      <w:pPr>
        <w:pStyle w:val="Prrafodelista"/>
        <w:numPr>
          <w:ilvl w:val="3"/>
          <w:numId w:val="23"/>
        </w:numPr>
        <w:autoSpaceDE w:val="0"/>
        <w:autoSpaceDN w:val="0"/>
        <w:adjustRightInd w:val="0"/>
        <w:spacing w:before="120" w:after="0" w:line="240" w:lineRule="auto"/>
        <w:ind w:left="284" w:hanging="284"/>
        <w:contextualSpacing w:val="0"/>
        <w:jc w:val="both"/>
        <w:rPr>
          <w:rFonts w:cstheme="minorHAnsi"/>
        </w:rPr>
      </w:pPr>
      <w:r>
        <w:rPr>
          <w:rFonts w:cstheme="minorHAnsi"/>
        </w:rPr>
        <w:t>La identificación y valoración de riesgos.</w:t>
      </w:r>
    </w:p>
    <w:p w14:paraId="718F32B4" w14:textId="77777777" w:rsidR="00543E12" w:rsidRDefault="00543E12" w:rsidP="00543E12">
      <w:pPr>
        <w:pStyle w:val="Prrafodelista"/>
        <w:numPr>
          <w:ilvl w:val="3"/>
          <w:numId w:val="23"/>
        </w:numPr>
        <w:autoSpaceDE w:val="0"/>
        <w:autoSpaceDN w:val="0"/>
        <w:adjustRightInd w:val="0"/>
        <w:spacing w:before="120" w:after="0" w:line="240" w:lineRule="auto"/>
        <w:ind w:left="284" w:hanging="284"/>
        <w:contextualSpacing w:val="0"/>
        <w:jc w:val="both"/>
        <w:rPr>
          <w:rFonts w:cstheme="minorHAnsi"/>
        </w:rPr>
      </w:pPr>
      <w:r>
        <w:rPr>
          <w:rFonts w:cstheme="minorHAnsi"/>
        </w:rPr>
        <w:t>La evaluación del sistema de control interno (CGTI + controles aplicación).</w:t>
      </w:r>
    </w:p>
    <w:p w14:paraId="1D992193" w14:textId="77777777" w:rsidR="00543E12" w:rsidRDefault="00543E12" w:rsidP="00543E12">
      <w:pPr>
        <w:pStyle w:val="Prrafodelista"/>
        <w:numPr>
          <w:ilvl w:val="3"/>
          <w:numId w:val="23"/>
        </w:numPr>
        <w:autoSpaceDE w:val="0"/>
        <w:autoSpaceDN w:val="0"/>
        <w:adjustRightInd w:val="0"/>
        <w:spacing w:before="120" w:after="0" w:line="240" w:lineRule="auto"/>
        <w:ind w:left="284" w:hanging="284"/>
        <w:contextualSpacing w:val="0"/>
        <w:jc w:val="both"/>
        <w:rPr>
          <w:rFonts w:cstheme="minorHAnsi"/>
        </w:rPr>
      </w:pPr>
      <w:r>
        <w:rPr>
          <w:rFonts w:cstheme="minorHAnsi"/>
        </w:rPr>
        <w:t>Las características de la evidencia de auditoría y los procedimientos para obtenerla.</w:t>
      </w:r>
    </w:p>
    <w:p w14:paraId="16A9B363" w14:textId="77777777" w:rsidR="00543E12" w:rsidRDefault="00543E12" w:rsidP="00543E12">
      <w:pPr>
        <w:pStyle w:val="Prrafodelista"/>
        <w:numPr>
          <w:ilvl w:val="3"/>
          <w:numId w:val="23"/>
        </w:numPr>
        <w:autoSpaceDE w:val="0"/>
        <w:autoSpaceDN w:val="0"/>
        <w:adjustRightInd w:val="0"/>
        <w:spacing w:before="120" w:after="0" w:line="240" w:lineRule="auto"/>
        <w:ind w:left="284" w:hanging="284"/>
        <w:contextualSpacing w:val="0"/>
        <w:jc w:val="both"/>
        <w:rPr>
          <w:rFonts w:cstheme="minorHAnsi"/>
        </w:rPr>
      </w:pPr>
      <w:r>
        <w:rPr>
          <w:rFonts w:cstheme="minorHAnsi"/>
        </w:rPr>
        <w:t>Las competencias del equipo auditor y el uso de especialistas.</w:t>
      </w:r>
    </w:p>
    <w:p w14:paraId="07538C2C" w14:textId="77777777" w:rsidR="00543E12" w:rsidRDefault="00543E12" w:rsidP="00543E12">
      <w:pPr>
        <w:pStyle w:val="Prrafodelista"/>
        <w:numPr>
          <w:ilvl w:val="3"/>
          <w:numId w:val="23"/>
        </w:numPr>
        <w:autoSpaceDE w:val="0"/>
        <w:autoSpaceDN w:val="0"/>
        <w:adjustRightInd w:val="0"/>
        <w:spacing w:before="120" w:after="0" w:line="240" w:lineRule="auto"/>
        <w:ind w:left="284" w:hanging="284"/>
        <w:contextualSpacing w:val="0"/>
        <w:jc w:val="both"/>
        <w:rPr>
          <w:rFonts w:cstheme="minorHAnsi"/>
        </w:rPr>
      </w:pPr>
      <w:r>
        <w:rPr>
          <w:rFonts w:cstheme="minorHAnsi"/>
        </w:rPr>
        <w:t>El análisis de los hallazgos y la evaluación de las deficiencias de control interno observadas.</w:t>
      </w:r>
    </w:p>
    <w:p w14:paraId="649BE2DE" w14:textId="2FAFB4C9" w:rsidR="00B31F72" w:rsidRDefault="005C7BA5" w:rsidP="004E1182">
      <w:pPr>
        <w:keepNext/>
        <w:spacing w:before="120" w:after="0" w:line="240" w:lineRule="auto"/>
        <w:ind w:left="567" w:hanging="567"/>
        <w:jc w:val="both"/>
        <w:rPr>
          <w:rFonts w:ascii="Calibri" w:hAnsi="Calibri" w:cs="Calibri"/>
          <w:b/>
        </w:rPr>
      </w:pPr>
      <w:r>
        <w:rPr>
          <w:rFonts w:ascii="Calibri" w:hAnsi="Calibri" w:cs="Calibri"/>
          <w:b/>
        </w:rPr>
        <w:t>7</w:t>
      </w:r>
      <w:r w:rsidR="00B31F72" w:rsidRPr="003B1DF6">
        <w:rPr>
          <w:rFonts w:ascii="Calibri" w:hAnsi="Calibri" w:cs="Calibri"/>
          <w:b/>
        </w:rPr>
        <w:t>.1</w:t>
      </w:r>
      <w:r w:rsidR="00CF4D6D" w:rsidRPr="003B1DF6">
        <w:rPr>
          <w:rFonts w:ascii="Calibri" w:hAnsi="Calibri" w:cs="Calibri"/>
          <w:b/>
        </w:rPr>
        <w:tab/>
      </w:r>
      <w:r w:rsidR="00B31F72" w:rsidRPr="003B1DF6">
        <w:rPr>
          <w:rFonts w:ascii="Calibri" w:hAnsi="Calibri" w:cs="Calibri"/>
          <w:b/>
        </w:rPr>
        <w:t>Conocimiento de la entidad auditada, incluyendo su sistema de información y de control interno (GPF-OCEX 131</w:t>
      </w:r>
      <w:r w:rsidR="004E1182">
        <w:rPr>
          <w:rFonts w:ascii="Calibri" w:hAnsi="Calibri" w:cs="Calibri"/>
          <w:b/>
        </w:rPr>
        <w:t>6</w:t>
      </w:r>
      <w:r w:rsidR="00B31F72" w:rsidRPr="003B1DF6">
        <w:rPr>
          <w:rFonts w:ascii="Calibri" w:hAnsi="Calibri" w:cs="Calibri"/>
          <w:b/>
        </w:rPr>
        <w:t>)</w:t>
      </w:r>
    </w:p>
    <w:p w14:paraId="5CC90DCB" w14:textId="08210614" w:rsidR="00543E12" w:rsidRPr="007B1A3D" w:rsidRDefault="00543E12" w:rsidP="00543E12">
      <w:pPr>
        <w:autoSpaceDE w:val="0"/>
        <w:autoSpaceDN w:val="0"/>
        <w:adjustRightInd w:val="0"/>
        <w:spacing w:before="120" w:after="120" w:line="240" w:lineRule="auto"/>
        <w:jc w:val="both"/>
        <w:rPr>
          <w:rFonts w:eastAsia="Times New Roman" w:cstheme="minorHAnsi"/>
          <w:color w:val="000000"/>
          <w:szCs w:val="20"/>
          <w:lang w:eastAsia="es-ES"/>
        </w:rPr>
      </w:pPr>
      <w:r w:rsidRPr="007B1A3D">
        <w:rPr>
          <w:rFonts w:eastAsia="Times New Roman" w:cstheme="minorHAnsi"/>
          <w:color w:val="000000"/>
          <w:szCs w:val="20"/>
          <w:lang w:eastAsia="es-ES"/>
        </w:rPr>
        <w:t>Un primer paso fundamental en la etapa de planificación consiste en</w:t>
      </w:r>
      <w:r>
        <w:rPr>
          <w:rFonts w:eastAsia="Times New Roman" w:cstheme="minorHAnsi"/>
          <w:color w:val="000000"/>
          <w:szCs w:val="20"/>
          <w:lang w:eastAsia="es-ES"/>
        </w:rPr>
        <w:t xml:space="preserve"> </w:t>
      </w:r>
      <w:r w:rsidRPr="007B1A3D">
        <w:rPr>
          <w:rFonts w:eastAsia="Times New Roman" w:cstheme="minorHAnsi"/>
          <w:color w:val="000000"/>
          <w:szCs w:val="20"/>
          <w:lang w:eastAsia="es-ES"/>
        </w:rPr>
        <w:t xml:space="preserve">lograr un conocimiento </w:t>
      </w:r>
      <w:r>
        <w:rPr>
          <w:rFonts w:eastAsia="Times New Roman" w:cstheme="minorHAnsi"/>
          <w:color w:val="000000"/>
          <w:szCs w:val="20"/>
          <w:lang w:eastAsia="es-ES"/>
        </w:rPr>
        <w:t>profundo</w:t>
      </w:r>
      <w:r w:rsidRPr="007B1A3D">
        <w:rPr>
          <w:rFonts w:eastAsia="Times New Roman" w:cstheme="minorHAnsi"/>
          <w:color w:val="000000"/>
          <w:szCs w:val="20"/>
          <w:lang w:eastAsia="es-ES"/>
        </w:rPr>
        <w:t xml:space="preserve"> del negocio del ente auditado y su entorno, a partir de la comprensión en</w:t>
      </w:r>
      <w:r>
        <w:rPr>
          <w:rFonts w:eastAsia="Times New Roman" w:cstheme="minorHAnsi"/>
          <w:color w:val="000000"/>
          <w:szCs w:val="20"/>
          <w:lang w:eastAsia="es-ES"/>
        </w:rPr>
        <w:t xml:space="preserve"> </w:t>
      </w:r>
      <w:r w:rsidRPr="007B1A3D">
        <w:rPr>
          <w:rFonts w:eastAsia="Times New Roman" w:cstheme="minorHAnsi"/>
          <w:color w:val="000000"/>
          <w:szCs w:val="20"/>
          <w:lang w:eastAsia="es-ES"/>
        </w:rPr>
        <w:t xml:space="preserve">profundidad de la naturaleza de </w:t>
      </w:r>
      <w:r>
        <w:rPr>
          <w:rFonts w:eastAsia="Times New Roman" w:cstheme="minorHAnsi"/>
          <w:color w:val="000000"/>
          <w:szCs w:val="20"/>
          <w:lang w:eastAsia="es-ES"/>
        </w:rPr>
        <w:t xml:space="preserve">su </w:t>
      </w:r>
      <w:r w:rsidRPr="007B1A3D">
        <w:rPr>
          <w:rFonts w:eastAsia="Times New Roman" w:cstheme="minorHAnsi"/>
          <w:color w:val="000000"/>
          <w:szCs w:val="20"/>
          <w:lang w:eastAsia="es-ES"/>
        </w:rPr>
        <w:t xml:space="preserve">actividad </w:t>
      </w:r>
      <w:r>
        <w:rPr>
          <w:rFonts w:eastAsia="Times New Roman" w:cstheme="minorHAnsi"/>
          <w:color w:val="000000"/>
          <w:szCs w:val="20"/>
          <w:lang w:eastAsia="es-ES"/>
        </w:rPr>
        <w:t>y</w:t>
      </w:r>
      <w:r w:rsidRPr="007B1A3D">
        <w:rPr>
          <w:rFonts w:eastAsia="Times New Roman" w:cstheme="minorHAnsi"/>
          <w:color w:val="000000"/>
          <w:szCs w:val="20"/>
          <w:lang w:eastAsia="es-ES"/>
        </w:rPr>
        <w:t xml:space="preserve"> sus operaciones</w:t>
      </w:r>
      <w:r>
        <w:rPr>
          <w:rFonts w:eastAsia="Times New Roman" w:cstheme="minorHAnsi"/>
          <w:color w:val="000000"/>
          <w:szCs w:val="20"/>
          <w:lang w:eastAsia="es-ES"/>
        </w:rPr>
        <w:t>. Se seguirá en esta fase lo previsto en la GPF-OCEX 131</w:t>
      </w:r>
      <w:r w:rsidR="004E1182">
        <w:rPr>
          <w:rFonts w:eastAsia="Times New Roman" w:cstheme="minorHAnsi"/>
          <w:color w:val="000000"/>
          <w:szCs w:val="20"/>
          <w:lang w:eastAsia="es-ES"/>
        </w:rPr>
        <w:t>6</w:t>
      </w:r>
      <w:r w:rsidR="002A1F60">
        <w:rPr>
          <w:rFonts w:eastAsia="Times New Roman" w:cstheme="minorHAnsi"/>
          <w:color w:val="000000"/>
          <w:szCs w:val="20"/>
          <w:lang w:eastAsia="es-ES"/>
        </w:rPr>
        <w:t>,</w:t>
      </w:r>
      <w:r w:rsidR="002A1F60" w:rsidRPr="002A1F60">
        <w:rPr>
          <w:rFonts w:eastAsia="Times New Roman" w:cstheme="minorHAnsi"/>
          <w:color w:val="000000"/>
          <w:szCs w:val="20"/>
          <w:lang w:eastAsia="es-ES"/>
        </w:rPr>
        <w:t xml:space="preserve"> </w:t>
      </w:r>
      <w:r w:rsidR="002A1F60" w:rsidRPr="002A1F60">
        <w:rPr>
          <w:rFonts w:eastAsia="Times New Roman" w:cstheme="minorHAnsi"/>
          <w:i/>
          <w:color w:val="000000"/>
          <w:szCs w:val="20"/>
          <w:lang w:eastAsia="es-ES"/>
        </w:rPr>
        <w:t>El conocimiento del control interno de la entidad</w:t>
      </w:r>
      <w:r>
        <w:rPr>
          <w:rFonts w:eastAsia="Times New Roman" w:cstheme="minorHAnsi"/>
          <w:color w:val="000000"/>
          <w:szCs w:val="20"/>
          <w:lang w:eastAsia="es-ES"/>
        </w:rPr>
        <w:t>.</w:t>
      </w:r>
      <w:r w:rsidR="00172B48">
        <w:rPr>
          <w:rFonts w:eastAsia="Times New Roman" w:cstheme="minorHAnsi"/>
          <w:color w:val="000000"/>
          <w:szCs w:val="20"/>
          <w:lang w:eastAsia="es-ES"/>
        </w:rPr>
        <w:t xml:space="preserve"> </w:t>
      </w:r>
      <w:r w:rsidRPr="007B1A3D">
        <w:rPr>
          <w:rFonts w:eastAsia="Times New Roman" w:cstheme="minorHAnsi"/>
          <w:color w:val="000000"/>
          <w:szCs w:val="20"/>
          <w:lang w:eastAsia="es-ES"/>
        </w:rPr>
        <w:t>Se debe</w:t>
      </w:r>
      <w:r w:rsidR="004E1182">
        <w:rPr>
          <w:rFonts w:eastAsia="Times New Roman" w:cstheme="minorHAnsi"/>
          <w:color w:val="000000"/>
          <w:szCs w:val="20"/>
          <w:lang w:eastAsia="es-ES"/>
        </w:rPr>
        <w:t xml:space="preserve"> </w:t>
      </w:r>
      <w:r w:rsidRPr="007B1A3D">
        <w:rPr>
          <w:rFonts w:eastAsia="Times New Roman" w:cstheme="minorHAnsi"/>
          <w:color w:val="000000"/>
          <w:szCs w:val="20"/>
          <w:lang w:eastAsia="es-ES"/>
        </w:rPr>
        <w:t>identificar y entender</w:t>
      </w:r>
      <w:r>
        <w:rPr>
          <w:rFonts w:eastAsia="Times New Roman" w:cstheme="minorHAnsi"/>
          <w:color w:val="000000"/>
          <w:szCs w:val="20"/>
          <w:lang w:eastAsia="es-ES"/>
        </w:rPr>
        <w:t xml:space="preserve"> </w:t>
      </w:r>
      <w:r w:rsidRPr="007B1A3D">
        <w:rPr>
          <w:rFonts w:eastAsia="Times New Roman" w:cstheme="minorHAnsi"/>
          <w:color w:val="000000"/>
          <w:szCs w:val="20"/>
          <w:lang w:eastAsia="es-ES"/>
        </w:rPr>
        <w:t xml:space="preserve">los sistemas de contabilidad y control interno afectados por el </w:t>
      </w:r>
      <w:r w:rsidR="0080027A">
        <w:rPr>
          <w:rFonts w:eastAsia="Times New Roman" w:cstheme="minorHAnsi"/>
          <w:color w:val="000000"/>
          <w:szCs w:val="20"/>
          <w:lang w:eastAsia="es-ES"/>
        </w:rPr>
        <w:t>entorno TIC</w:t>
      </w:r>
      <w:r w:rsidRPr="007B1A3D">
        <w:rPr>
          <w:rFonts w:eastAsia="Times New Roman" w:cstheme="minorHAnsi"/>
          <w:color w:val="000000"/>
          <w:szCs w:val="20"/>
          <w:lang w:eastAsia="es-ES"/>
        </w:rPr>
        <w:t>.</w:t>
      </w:r>
    </w:p>
    <w:p w14:paraId="7B2591A5" w14:textId="7567D8EE" w:rsidR="00B31F72" w:rsidRDefault="00B31F72" w:rsidP="00543E12">
      <w:pPr>
        <w:pStyle w:val="Prrafodelista"/>
        <w:autoSpaceDE w:val="0"/>
        <w:autoSpaceDN w:val="0"/>
        <w:adjustRightInd w:val="0"/>
        <w:spacing w:before="120" w:after="0" w:line="240" w:lineRule="auto"/>
        <w:ind w:left="0"/>
        <w:contextualSpacing w:val="0"/>
        <w:jc w:val="both"/>
        <w:rPr>
          <w:rFonts w:ascii="Calibri" w:hAnsi="Calibri" w:cs="Calibri"/>
          <w:lang w:val="es"/>
        </w:rPr>
      </w:pPr>
      <w:r>
        <w:rPr>
          <w:rFonts w:ascii="Calibri" w:hAnsi="Calibri" w:cs="Calibri"/>
          <w:lang w:val="es"/>
        </w:rPr>
        <w:t xml:space="preserve">El auditor debe adquirir una clara comprensión del proceso de gestión auditado y conocer qué parte </w:t>
      </w:r>
      <w:r w:rsidR="004A2F75">
        <w:rPr>
          <w:rFonts w:ascii="Calibri" w:hAnsi="Calibri" w:cs="Calibri"/>
          <w:lang w:val="es"/>
        </w:rPr>
        <w:t>de este</w:t>
      </w:r>
      <w:r w:rsidR="00D4109E">
        <w:rPr>
          <w:rFonts w:ascii="Calibri" w:hAnsi="Calibri" w:cs="Calibri"/>
          <w:lang w:val="es"/>
        </w:rPr>
        <w:t xml:space="preserve"> y</w:t>
      </w:r>
      <w:r>
        <w:rPr>
          <w:rFonts w:ascii="Calibri" w:hAnsi="Calibri" w:cs="Calibri"/>
          <w:lang w:val="es"/>
        </w:rPr>
        <w:t xml:space="preserve"> qué actividades se realizan directamente por la entidad auditada</w:t>
      </w:r>
      <w:r w:rsidR="00D4109E">
        <w:rPr>
          <w:rFonts w:ascii="Calibri" w:hAnsi="Calibri" w:cs="Calibri"/>
          <w:lang w:val="es"/>
        </w:rPr>
        <w:t>,</w:t>
      </w:r>
      <w:r>
        <w:rPr>
          <w:rFonts w:ascii="Calibri" w:hAnsi="Calibri" w:cs="Calibri"/>
          <w:lang w:val="es"/>
        </w:rPr>
        <w:t xml:space="preserve"> y cuáles son servicios p</w:t>
      </w:r>
      <w:r w:rsidR="00543E12">
        <w:rPr>
          <w:rFonts w:ascii="Calibri" w:hAnsi="Calibri" w:cs="Calibri"/>
          <w:lang w:val="es"/>
        </w:rPr>
        <w:t xml:space="preserve">restados por un proveedor </w:t>
      </w:r>
      <w:r w:rsidR="00543E12" w:rsidRPr="00543E12">
        <w:rPr>
          <w:rFonts w:ascii="Calibri" w:hAnsi="Calibri" w:cs="Calibri"/>
          <w:lang w:val="es"/>
        </w:rPr>
        <w:t>cloud,</w:t>
      </w:r>
      <w:r w:rsidR="00543E12">
        <w:rPr>
          <w:rFonts w:ascii="Calibri" w:hAnsi="Calibri" w:cs="Calibri"/>
          <w:lang w:val="es"/>
        </w:rPr>
        <w:t xml:space="preserve"> qué </w:t>
      </w:r>
      <w:r w:rsidR="00543E12" w:rsidRPr="00543E12">
        <w:rPr>
          <w:rFonts w:ascii="Calibri" w:hAnsi="Calibri" w:cs="Calibri"/>
          <w:lang w:val="es"/>
        </w:rPr>
        <w:t xml:space="preserve">aplicaciones significativas </w:t>
      </w:r>
      <w:r w:rsidR="00543E12">
        <w:rPr>
          <w:rFonts w:ascii="Calibri" w:hAnsi="Calibri" w:cs="Calibri"/>
          <w:lang w:val="es"/>
        </w:rPr>
        <w:t xml:space="preserve">hay </w:t>
      </w:r>
      <w:r w:rsidR="00543E12" w:rsidRPr="00543E12">
        <w:rPr>
          <w:rFonts w:ascii="Calibri" w:hAnsi="Calibri" w:cs="Calibri"/>
          <w:lang w:val="es"/>
        </w:rPr>
        <w:t xml:space="preserve">en la nube </w:t>
      </w:r>
      <w:r w:rsidR="0080027A">
        <w:rPr>
          <w:rFonts w:ascii="Calibri" w:hAnsi="Calibri" w:cs="Calibri"/>
          <w:lang w:val="es"/>
        </w:rPr>
        <w:t>e identificar</w:t>
      </w:r>
      <w:r w:rsidR="00543E12" w:rsidRPr="00543E12">
        <w:rPr>
          <w:rFonts w:ascii="Calibri" w:hAnsi="Calibri" w:cs="Calibri"/>
          <w:lang w:val="es"/>
        </w:rPr>
        <w:t xml:space="preserve"> las interfaces significativas.</w:t>
      </w:r>
    </w:p>
    <w:p w14:paraId="6B5150F6" w14:textId="5E6816E3" w:rsidR="00B31F72" w:rsidRDefault="00543E12" w:rsidP="00543E12">
      <w:pPr>
        <w:pStyle w:val="Prrafodelista"/>
        <w:autoSpaceDE w:val="0"/>
        <w:autoSpaceDN w:val="0"/>
        <w:adjustRightInd w:val="0"/>
        <w:spacing w:before="120" w:after="0" w:line="240" w:lineRule="auto"/>
        <w:ind w:left="0"/>
        <w:contextualSpacing w:val="0"/>
        <w:jc w:val="both"/>
        <w:rPr>
          <w:rFonts w:ascii="Calibri" w:hAnsi="Calibri" w:cs="Calibri"/>
          <w:lang w:val="es"/>
        </w:rPr>
      </w:pPr>
      <w:r>
        <w:rPr>
          <w:rFonts w:ascii="Calibri" w:hAnsi="Calibri" w:cs="Calibri"/>
          <w:lang w:val="es"/>
        </w:rPr>
        <w:t xml:space="preserve">Como de ordinario, el conocimiento adquirido se documentará </w:t>
      </w:r>
      <w:r w:rsidR="00B31F72">
        <w:rPr>
          <w:rFonts w:ascii="Calibri" w:hAnsi="Calibri" w:cs="Calibri"/>
          <w:lang w:val="es"/>
        </w:rPr>
        <w:t>mediante una narrativa y un flujograma.</w:t>
      </w:r>
      <w:r w:rsidR="00FB037B">
        <w:rPr>
          <w:rFonts w:ascii="Calibri" w:hAnsi="Calibri" w:cs="Calibri"/>
          <w:lang w:val="es"/>
        </w:rPr>
        <w:t xml:space="preserve"> </w:t>
      </w:r>
      <w:r w:rsidR="00FB037B" w:rsidRPr="00FB037B">
        <w:rPr>
          <w:rFonts w:ascii="Calibri" w:hAnsi="Calibri" w:cs="Calibri"/>
          <w:lang w:val="es"/>
        </w:rPr>
        <w:t>El conocimiento debe incluir dónde se almacenan los datos, los controles y cómo se puede acceder a ellos para realizar muestreos, análisis de datos y todo tipo de pruebas.</w:t>
      </w:r>
    </w:p>
    <w:p w14:paraId="299BEE78" w14:textId="1C4842D0" w:rsidR="00B31F72" w:rsidRDefault="00B31F72" w:rsidP="00FB037B">
      <w:pPr>
        <w:autoSpaceDE w:val="0"/>
        <w:autoSpaceDN w:val="0"/>
        <w:adjustRightInd w:val="0"/>
        <w:spacing w:before="120" w:after="0" w:line="240" w:lineRule="auto"/>
        <w:jc w:val="both"/>
        <w:rPr>
          <w:rFonts w:ascii="Calibri" w:hAnsi="Calibri" w:cs="Calibri"/>
          <w:lang w:val="es"/>
        </w:rPr>
      </w:pPr>
      <w:r w:rsidRPr="00FB037B">
        <w:rPr>
          <w:rFonts w:ascii="Calibri" w:hAnsi="Calibri" w:cs="Calibri"/>
          <w:lang w:val="es"/>
        </w:rPr>
        <w:t>Se indagará sobre el tipo de servicio cloud y la relación contractual con el CSP.</w:t>
      </w:r>
      <w:r w:rsidR="00FB037B" w:rsidRPr="00FB037B">
        <w:rPr>
          <w:rFonts w:ascii="Calibri" w:hAnsi="Calibri" w:cs="Calibri"/>
          <w:lang w:val="es"/>
        </w:rPr>
        <w:t xml:space="preserve"> </w:t>
      </w:r>
      <w:r w:rsidR="00FB037B" w:rsidRPr="00FB037B">
        <w:rPr>
          <w:rFonts w:eastAsia="Times New Roman" w:cstheme="minorHAnsi"/>
          <w:color w:val="000000"/>
          <w:szCs w:val="20"/>
          <w:lang w:eastAsia="es-ES"/>
        </w:rPr>
        <w:t>Una</w:t>
      </w:r>
      <w:r w:rsidR="00FB037B">
        <w:rPr>
          <w:rFonts w:eastAsia="Times New Roman" w:cstheme="minorHAnsi"/>
          <w:color w:val="000000"/>
          <w:szCs w:val="20"/>
          <w:lang w:eastAsia="es-ES"/>
        </w:rPr>
        <w:t xml:space="preserve"> </w:t>
      </w:r>
      <w:r w:rsidR="00FB037B" w:rsidRPr="007B1A3D">
        <w:rPr>
          <w:rFonts w:eastAsia="Times New Roman" w:cstheme="minorHAnsi"/>
          <w:color w:val="000000"/>
          <w:szCs w:val="20"/>
          <w:lang w:eastAsia="es-ES"/>
        </w:rPr>
        <w:t xml:space="preserve">adecuada comprensión del modelo de servicio y de distribución </w:t>
      </w:r>
      <w:r w:rsidR="00FB037B">
        <w:rPr>
          <w:rFonts w:eastAsia="Times New Roman" w:cstheme="minorHAnsi"/>
          <w:color w:val="000000"/>
          <w:szCs w:val="20"/>
          <w:lang w:eastAsia="es-ES"/>
        </w:rPr>
        <w:t xml:space="preserve">de responsabilidad </w:t>
      </w:r>
      <w:r w:rsidR="00FB037B" w:rsidRPr="007B1A3D">
        <w:rPr>
          <w:rFonts w:eastAsia="Times New Roman" w:cstheme="minorHAnsi"/>
          <w:color w:val="000000"/>
          <w:szCs w:val="20"/>
          <w:lang w:eastAsia="es-ES"/>
        </w:rPr>
        <w:t>adoptado</w:t>
      </w:r>
      <w:r w:rsidR="00FB037B">
        <w:rPr>
          <w:rFonts w:eastAsia="Times New Roman" w:cstheme="minorHAnsi"/>
          <w:color w:val="000000"/>
          <w:szCs w:val="20"/>
          <w:lang w:eastAsia="es-ES"/>
        </w:rPr>
        <w:t xml:space="preserve"> </w:t>
      </w:r>
      <w:r w:rsidR="00FB037B" w:rsidRPr="007B1A3D">
        <w:rPr>
          <w:rFonts w:eastAsia="Times New Roman" w:cstheme="minorHAnsi"/>
          <w:color w:val="000000"/>
          <w:szCs w:val="20"/>
          <w:lang w:eastAsia="es-ES"/>
        </w:rPr>
        <w:t>por el ente será fundamental, dado que no solo poseen características</w:t>
      </w:r>
      <w:r w:rsidR="00FB037B">
        <w:rPr>
          <w:rFonts w:eastAsia="Times New Roman" w:cstheme="minorHAnsi"/>
          <w:color w:val="000000"/>
          <w:szCs w:val="20"/>
          <w:lang w:eastAsia="es-ES"/>
        </w:rPr>
        <w:t xml:space="preserve"> </w:t>
      </w:r>
      <w:r w:rsidR="00FB037B" w:rsidRPr="007B1A3D">
        <w:rPr>
          <w:rFonts w:eastAsia="Times New Roman" w:cstheme="minorHAnsi"/>
          <w:color w:val="000000"/>
          <w:szCs w:val="20"/>
          <w:lang w:eastAsia="es-ES"/>
        </w:rPr>
        <w:t>propias, sino que en principio pueden representar diferentes tipos de riesgos</w:t>
      </w:r>
      <w:r w:rsidR="00FB037B">
        <w:rPr>
          <w:rFonts w:eastAsia="Times New Roman" w:cstheme="minorHAnsi"/>
          <w:color w:val="000000"/>
          <w:szCs w:val="20"/>
          <w:lang w:eastAsia="es-ES"/>
        </w:rPr>
        <w:t xml:space="preserve"> </w:t>
      </w:r>
      <w:r w:rsidR="00FB037B" w:rsidRPr="007B1A3D">
        <w:rPr>
          <w:rFonts w:eastAsia="Times New Roman" w:cstheme="minorHAnsi"/>
          <w:color w:val="000000"/>
          <w:szCs w:val="20"/>
          <w:lang w:eastAsia="es-ES"/>
        </w:rPr>
        <w:t>que pueden afectar la información financiera.</w:t>
      </w:r>
    </w:p>
    <w:p w14:paraId="5E184A3B" w14:textId="06A4B6A9" w:rsidR="00B31F72" w:rsidRPr="00FB037B" w:rsidRDefault="00B31F72" w:rsidP="00FB037B">
      <w:pPr>
        <w:autoSpaceDE w:val="0"/>
        <w:autoSpaceDN w:val="0"/>
        <w:adjustRightInd w:val="0"/>
        <w:spacing w:before="120" w:after="0" w:line="240" w:lineRule="auto"/>
        <w:jc w:val="both"/>
        <w:rPr>
          <w:rFonts w:ascii="Calibri" w:hAnsi="Calibri" w:cs="Calibri"/>
          <w:lang w:val="es"/>
        </w:rPr>
      </w:pPr>
      <w:r w:rsidRPr="00FB037B">
        <w:rPr>
          <w:rFonts w:ascii="Calibri" w:hAnsi="Calibri" w:cs="Calibri"/>
          <w:lang w:val="es"/>
        </w:rPr>
        <w:t xml:space="preserve">El equipo de auditoría debe conocer la diferencia entre </w:t>
      </w:r>
      <w:r w:rsidR="00FB037B">
        <w:rPr>
          <w:rFonts w:ascii="Calibri" w:hAnsi="Calibri" w:cs="Calibri"/>
          <w:lang w:val="es"/>
        </w:rPr>
        <w:t>las distintas</w:t>
      </w:r>
      <w:r w:rsidRPr="00FB037B">
        <w:rPr>
          <w:rFonts w:ascii="Calibri" w:hAnsi="Calibri" w:cs="Calibri"/>
          <w:lang w:val="es"/>
        </w:rPr>
        <w:t xml:space="preserve"> formas de prestación del servicio</w:t>
      </w:r>
      <w:r w:rsidR="00FB037B">
        <w:rPr>
          <w:rFonts w:ascii="Calibri" w:hAnsi="Calibri" w:cs="Calibri"/>
          <w:lang w:val="es"/>
        </w:rPr>
        <w:t xml:space="preserve"> TIC</w:t>
      </w:r>
      <w:r w:rsidRPr="00FB037B">
        <w:rPr>
          <w:rFonts w:ascii="Calibri" w:hAnsi="Calibri" w:cs="Calibri"/>
          <w:lang w:val="es"/>
        </w:rPr>
        <w:t xml:space="preserve"> y de l</w:t>
      </w:r>
      <w:r w:rsidR="0080027A">
        <w:rPr>
          <w:rFonts w:ascii="Calibri" w:hAnsi="Calibri" w:cs="Calibri"/>
          <w:lang w:val="es"/>
        </w:rPr>
        <w:t>os riesgos asociados a cada una</w:t>
      </w:r>
      <w:r w:rsidR="00AE289D">
        <w:rPr>
          <w:rFonts w:ascii="Calibri" w:hAnsi="Calibri" w:cs="Calibri"/>
          <w:lang w:val="es"/>
        </w:rPr>
        <w:t>,</w:t>
      </w:r>
      <w:r w:rsidR="0080027A">
        <w:rPr>
          <w:rFonts w:ascii="Calibri" w:hAnsi="Calibri" w:cs="Calibri"/>
          <w:lang w:val="es"/>
        </w:rPr>
        <w:t xml:space="preserve"> que pueden ser muy diferentes, por eso es importante conocer el tipo de servicio contratado en cada caso.</w:t>
      </w:r>
    </w:p>
    <w:p w14:paraId="33CBB32A" w14:textId="2AB802D6" w:rsidR="00BF1987" w:rsidRDefault="00FB037B" w:rsidP="00BF1987">
      <w:pPr>
        <w:autoSpaceDE w:val="0"/>
        <w:autoSpaceDN w:val="0"/>
        <w:adjustRightInd w:val="0"/>
        <w:spacing w:before="120" w:after="120" w:line="240" w:lineRule="auto"/>
        <w:jc w:val="both"/>
        <w:rPr>
          <w:rFonts w:eastAsia="Times New Roman" w:cstheme="minorHAnsi"/>
          <w:color w:val="000000"/>
          <w:szCs w:val="20"/>
          <w:lang w:eastAsia="es-ES"/>
        </w:rPr>
      </w:pPr>
      <w:r>
        <w:rPr>
          <w:rFonts w:eastAsia="Times New Roman" w:cstheme="minorHAnsi"/>
          <w:color w:val="000000"/>
          <w:szCs w:val="20"/>
          <w:lang w:val="es" w:eastAsia="es-ES"/>
        </w:rPr>
        <w:t>E</w:t>
      </w:r>
      <w:r w:rsidR="00BF1987" w:rsidRPr="007B1A3D">
        <w:rPr>
          <w:rFonts w:eastAsia="Times New Roman" w:cstheme="minorHAnsi"/>
          <w:color w:val="000000"/>
          <w:szCs w:val="20"/>
          <w:lang w:eastAsia="es-ES"/>
        </w:rPr>
        <w:t>l</w:t>
      </w:r>
      <w:r w:rsidR="00AA730D">
        <w:rPr>
          <w:rFonts w:eastAsia="Times New Roman" w:cstheme="minorHAnsi"/>
          <w:color w:val="000000"/>
          <w:szCs w:val="20"/>
          <w:lang w:eastAsia="es-ES"/>
        </w:rPr>
        <w:t xml:space="preserve"> auditor</w:t>
      </w:r>
      <w:r w:rsidR="00BF1987" w:rsidRPr="007B1A3D">
        <w:rPr>
          <w:rFonts w:eastAsia="Times New Roman" w:cstheme="minorHAnsi"/>
          <w:color w:val="000000"/>
          <w:szCs w:val="20"/>
          <w:lang w:eastAsia="es-ES"/>
        </w:rPr>
        <w:t xml:space="preserve"> debe considerar si el uso de la </w:t>
      </w:r>
      <w:r>
        <w:rPr>
          <w:rFonts w:eastAsia="Times New Roman" w:cstheme="minorHAnsi"/>
          <w:color w:val="000000"/>
          <w:szCs w:val="20"/>
          <w:lang w:eastAsia="es-ES"/>
        </w:rPr>
        <w:t>computación en la nube</w:t>
      </w:r>
      <w:r w:rsidR="00BF1987" w:rsidRPr="007B1A3D">
        <w:rPr>
          <w:rFonts w:eastAsia="Times New Roman" w:cstheme="minorHAnsi"/>
          <w:color w:val="000000"/>
          <w:szCs w:val="20"/>
          <w:lang w:eastAsia="es-ES"/>
        </w:rPr>
        <w:t xml:space="preserve"> es significativ</w:t>
      </w:r>
      <w:r w:rsidR="00D4109E">
        <w:rPr>
          <w:rFonts w:eastAsia="Times New Roman" w:cstheme="minorHAnsi"/>
          <w:color w:val="000000"/>
          <w:szCs w:val="20"/>
          <w:lang w:eastAsia="es-ES"/>
        </w:rPr>
        <w:t>o</w:t>
      </w:r>
      <w:r w:rsidR="00BF1987" w:rsidRPr="007B1A3D">
        <w:rPr>
          <w:rFonts w:eastAsia="Times New Roman" w:cstheme="minorHAnsi"/>
          <w:color w:val="000000"/>
          <w:szCs w:val="20"/>
          <w:lang w:eastAsia="es-ES"/>
        </w:rPr>
        <w:t xml:space="preserve"> para l</w:t>
      </w:r>
      <w:r>
        <w:rPr>
          <w:rFonts w:eastAsia="Times New Roman" w:cstheme="minorHAnsi"/>
          <w:color w:val="000000"/>
          <w:szCs w:val="20"/>
          <w:lang w:eastAsia="es-ES"/>
        </w:rPr>
        <w:t xml:space="preserve">os objetivos de la </w:t>
      </w:r>
      <w:r w:rsidR="00BF1987" w:rsidRPr="007B1A3D">
        <w:rPr>
          <w:rFonts w:eastAsia="Times New Roman" w:cstheme="minorHAnsi"/>
          <w:color w:val="000000"/>
          <w:szCs w:val="20"/>
          <w:lang w:eastAsia="es-ES"/>
        </w:rPr>
        <w:t>auditoría, deberá obtener una comprensión</w:t>
      </w:r>
      <w:r w:rsidR="00AA730D">
        <w:rPr>
          <w:rFonts w:eastAsia="Times New Roman" w:cstheme="minorHAnsi"/>
          <w:color w:val="000000"/>
          <w:szCs w:val="20"/>
          <w:lang w:eastAsia="es-ES"/>
        </w:rPr>
        <w:t xml:space="preserve"> </w:t>
      </w:r>
      <w:r w:rsidR="004E1182">
        <w:rPr>
          <w:rFonts w:eastAsia="Times New Roman" w:cstheme="minorHAnsi"/>
          <w:color w:val="000000"/>
          <w:szCs w:val="20"/>
          <w:lang w:eastAsia="es-ES"/>
        </w:rPr>
        <w:t>general</w:t>
      </w:r>
      <w:r w:rsidR="00BF1987" w:rsidRPr="007B1A3D">
        <w:rPr>
          <w:rFonts w:eastAsia="Times New Roman" w:cstheme="minorHAnsi"/>
          <w:color w:val="000000"/>
          <w:szCs w:val="20"/>
          <w:lang w:eastAsia="es-ES"/>
        </w:rPr>
        <w:t xml:space="preserve"> de la organización de servicios (el proveedor),</w:t>
      </w:r>
      <w:r w:rsidR="0071128C">
        <w:rPr>
          <w:rFonts w:eastAsia="Times New Roman" w:cstheme="minorHAnsi"/>
          <w:color w:val="000000"/>
          <w:szCs w:val="20"/>
          <w:lang w:eastAsia="es-ES"/>
        </w:rPr>
        <w:t xml:space="preserve"> </w:t>
      </w:r>
      <w:r w:rsidR="00BF1987" w:rsidRPr="007B1A3D">
        <w:rPr>
          <w:rFonts w:eastAsia="Times New Roman" w:cstheme="minorHAnsi"/>
          <w:color w:val="000000"/>
          <w:szCs w:val="20"/>
          <w:lang w:eastAsia="es-ES"/>
        </w:rPr>
        <w:t xml:space="preserve">con el fin de identificar y analizar los riesgos de </w:t>
      </w:r>
      <w:r w:rsidR="0080027A">
        <w:rPr>
          <w:rFonts w:eastAsia="Times New Roman" w:cstheme="minorHAnsi"/>
          <w:color w:val="000000"/>
          <w:szCs w:val="20"/>
          <w:lang w:eastAsia="es-ES"/>
        </w:rPr>
        <w:t>incorrección material</w:t>
      </w:r>
      <w:r w:rsidR="00BF1987" w:rsidRPr="007B1A3D">
        <w:rPr>
          <w:rFonts w:eastAsia="Times New Roman" w:cstheme="minorHAnsi"/>
          <w:color w:val="000000"/>
          <w:szCs w:val="20"/>
          <w:lang w:eastAsia="es-ES"/>
        </w:rPr>
        <w:t xml:space="preserve"> y diseñar procedimientos de auditoría en respuesta a ellos</w:t>
      </w:r>
      <w:r w:rsidR="00BF1987">
        <w:rPr>
          <w:rFonts w:eastAsia="Times New Roman" w:cstheme="minorHAnsi"/>
          <w:color w:val="000000"/>
          <w:szCs w:val="20"/>
          <w:lang w:eastAsia="es-ES"/>
        </w:rPr>
        <w:t>.</w:t>
      </w:r>
    </w:p>
    <w:p w14:paraId="0E52A38C" w14:textId="77777777" w:rsidR="0080027A" w:rsidRDefault="0080027A" w:rsidP="0080027A">
      <w:pPr>
        <w:autoSpaceDE w:val="0"/>
        <w:autoSpaceDN w:val="0"/>
        <w:adjustRightInd w:val="0"/>
        <w:spacing w:before="120" w:after="0" w:line="240" w:lineRule="auto"/>
        <w:jc w:val="both"/>
        <w:rPr>
          <w:rFonts w:ascii="Calibri" w:hAnsi="Calibri" w:cs="Calibri"/>
          <w:lang w:val="es"/>
        </w:rPr>
      </w:pPr>
      <w:r w:rsidRPr="00844BE5">
        <w:rPr>
          <w:rFonts w:ascii="Calibri" w:hAnsi="Calibri" w:cs="Calibri"/>
          <w:lang w:val="es"/>
        </w:rPr>
        <w:t>Se deberá mantener una reunión con los responsables de la entidad para explicar el trabajo que se va a realizar, solicitando la documentación necesaria al Responsable de Seguridad de la entidad auditada, quien deberá estar presente en la reunión.</w:t>
      </w:r>
    </w:p>
    <w:p w14:paraId="65B4F26C" w14:textId="5DF1604B" w:rsidR="00BF1987" w:rsidRPr="003B1DF6" w:rsidRDefault="005C7BA5" w:rsidP="0080027A">
      <w:pPr>
        <w:spacing w:before="120" w:after="0" w:line="240" w:lineRule="auto"/>
        <w:ind w:left="567" w:hanging="567"/>
        <w:jc w:val="both"/>
        <w:rPr>
          <w:rFonts w:ascii="Calibri" w:hAnsi="Calibri" w:cs="Calibri"/>
          <w:b/>
        </w:rPr>
      </w:pPr>
      <w:r>
        <w:rPr>
          <w:rFonts w:ascii="Calibri" w:hAnsi="Calibri" w:cs="Calibri"/>
          <w:b/>
        </w:rPr>
        <w:t>7</w:t>
      </w:r>
      <w:r w:rsidR="00AA730D" w:rsidRPr="003B1DF6">
        <w:rPr>
          <w:rFonts w:ascii="Calibri" w:hAnsi="Calibri" w:cs="Calibri"/>
          <w:b/>
        </w:rPr>
        <w:t>.2</w:t>
      </w:r>
      <w:r w:rsidR="00CF4D6D" w:rsidRPr="003B1DF6">
        <w:rPr>
          <w:rFonts w:ascii="Calibri" w:hAnsi="Calibri" w:cs="Calibri"/>
          <w:b/>
        </w:rPr>
        <w:tab/>
      </w:r>
      <w:r w:rsidR="00AA730D" w:rsidRPr="003B1DF6">
        <w:rPr>
          <w:rFonts w:ascii="Calibri" w:hAnsi="Calibri" w:cs="Calibri"/>
          <w:b/>
        </w:rPr>
        <w:t>Identificación y valoración de riesgos</w:t>
      </w:r>
      <w:r w:rsidR="00FB037B">
        <w:rPr>
          <w:rFonts w:ascii="Calibri" w:hAnsi="Calibri" w:cs="Calibri"/>
          <w:b/>
        </w:rPr>
        <w:t xml:space="preserve"> (GPF-OCEX 131</w:t>
      </w:r>
      <w:r w:rsidR="0071128C">
        <w:rPr>
          <w:rFonts w:ascii="Calibri" w:hAnsi="Calibri" w:cs="Calibri"/>
          <w:b/>
        </w:rPr>
        <w:t>5</w:t>
      </w:r>
      <w:r w:rsidR="00FB037B">
        <w:rPr>
          <w:rFonts w:ascii="Calibri" w:hAnsi="Calibri" w:cs="Calibri"/>
          <w:b/>
        </w:rPr>
        <w:t>)</w:t>
      </w:r>
    </w:p>
    <w:p w14:paraId="6251CE70" w14:textId="454AE7B8" w:rsidR="0080027A" w:rsidRPr="00FB037B" w:rsidRDefault="0080027A" w:rsidP="0080027A">
      <w:pPr>
        <w:autoSpaceDE w:val="0"/>
        <w:autoSpaceDN w:val="0"/>
        <w:adjustRightInd w:val="0"/>
        <w:spacing w:before="120" w:after="0" w:line="240" w:lineRule="auto"/>
        <w:jc w:val="both"/>
        <w:rPr>
          <w:rFonts w:ascii="Calibri" w:hAnsi="Calibri" w:cs="Calibri"/>
          <w:lang w:val="es"/>
        </w:rPr>
      </w:pPr>
      <w:r w:rsidRPr="00FB037B">
        <w:rPr>
          <w:rFonts w:ascii="Calibri" w:hAnsi="Calibri" w:cs="Calibri"/>
          <w:lang w:val="es"/>
        </w:rPr>
        <w:t>Se identificarán los riesgos y los controles de la forma prevista en la GPF-OCEX 1316</w:t>
      </w:r>
      <w:r w:rsidR="00D4109E">
        <w:rPr>
          <w:rFonts w:ascii="Calibri" w:hAnsi="Calibri" w:cs="Calibri"/>
          <w:lang w:val="es"/>
        </w:rPr>
        <w:t>,</w:t>
      </w:r>
      <w:r w:rsidRPr="00FB037B">
        <w:rPr>
          <w:rFonts w:ascii="Calibri" w:hAnsi="Calibri" w:cs="Calibri"/>
          <w:lang w:val="es"/>
        </w:rPr>
        <w:t xml:space="preserve"> teniendo en consideración el efecto del tipo de servicio cloud que se utilice.</w:t>
      </w:r>
    </w:p>
    <w:p w14:paraId="4E9BCD07" w14:textId="4D655047" w:rsidR="00AA730D" w:rsidRDefault="00AA730D" w:rsidP="00AA730D">
      <w:pPr>
        <w:autoSpaceDE w:val="0"/>
        <w:autoSpaceDN w:val="0"/>
        <w:adjustRightInd w:val="0"/>
        <w:spacing w:before="120" w:after="120" w:line="240" w:lineRule="auto"/>
        <w:jc w:val="both"/>
        <w:rPr>
          <w:rFonts w:eastAsia="Times New Roman" w:cstheme="minorHAnsi"/>
          <w:color w:val="000000"/>
          <w:szCs w:val="20"/>
          <w:lang w:eastAsia="es-ES"/>
        </w:rPr>
      </w:pPr>
      <w:r w:rsidRPr="00DF5443">
        <w:rPr>
          <w:rFonts w:eastAsia="Times New Roman" w:cstheme="minorHAnsi"/>
          <w:color w:val="000000"/>
          <w:szCs w:val="20"/>
          <w:lang w:eastAsia="es-ES"/>
        </w:rPr>
        <w:t xml:space="preserve">A partir del conocimiento obtenido, el </w:t>
      </w:r>
      <w:r>
        <w:rPr>
          <w:rFonts w:eastAsia="Times New Roman" w:cstheme="minorHAnsi"/>
          <w:color w:val="000000"/>
          <w:szCs w:val="20"/>
          <w:lang w:eastAsia="es-ES"/>
        </w:rPr>
        <w:t xml:space="preserve">auditor </w:t>
      </w:r>
      <w:r w:rsidRPr="00DF5443">
        <w:rPr>
          <w:rFonts w:eastAsia="Times New Roman" w:cstheme="minorHAnsi"/>
          <w:color w:val="000000"/>
          <w:szCs w:val="20"/>
          <w:lang w:eastAsia="es-ES"/>
        </w:rPr>
        <w:t>estará en condiciones de</w:t>
      </w:r>
      <w:r>
        <w:rPr>
          <w:rFonts w:eastAsia="Times New Roman" w:cstheme="minorHAnsi"/>
          <w:color w:val="000000"/>
          <w:szCs w:val="20"/>
          <w:lang w:eastAsia="es-ES"/>
        </w:rPr>
        <w:t xml:space="preserve"> valorar </w:t>
      </w:r>
      <w:r w:rsidRPr="00DF5443">
        <w:rPr>
          <w:rFonts w:eastAsia="Times New Roman" w:cstheme="minorHAnsi"/>
          <w:color w:val="000000"/>
          <w:szCs w:val="20"/>
          <w:lang w:eastAsia="es-ES"/>
        </w:rPr>
        <w:t>el riesgo de negocio del cliente; esto implica comprender las</w:t>
      </w:r>
      <w:r>
        <w:rPr>
          <w:rFonts w:eastAsia="Times New Roman" w:cstheme="minorHAnsi"/>
          <w:color w:val="000000"/>
          <w:szCs w:val="20"/>
          <w:lang w:eastAsia="es-ES"/>
        </w:rPr>
        <w:t xml:space="preserve"> </w:t>
      </w:r>
      <w:r w:rsidRPr="00DF5443">
        <w:rPr>
          <w:rFonts w:eastAsia="Times New Roman" w:cstheme="minorHAnsi"/>
          <w:color w:val="000000"/>
          <w:szCs w:val="20"/>
          <w:lang w:eastAsia="es-ES"/>
        </w:rPr>
        <w:t>condiciones —internas y del entorno— que amenazan la habilidad de la</w:t>
      </w:r>
      <w:r>
        <w:rPr>
          <w:rFonts w:eastAsia="Times New Roman" w:cstheme="minorHAnsi"/>
          <w:color w:val="000000"/>
          <w:szCs w:val="20"/>
          <w:lang w:eastAsia="es-ES"/>
        </w:rPr>
        <w:t xml:space="preserve"> </w:t>
      </w:r>
      <w:r w:rsidRPr="00DF5443">
        <w:rPr>
          <w:rFonts w:eastAsia="Times New Roman" w:cstheme="minorHAnsi"/>
          <w:color w:val="000000"/>
          <w:szCs w:val="20"/>
          <w:lang w:eastAsia="es-ES"/>
        </w:rPr>
        <w:t>organización para ejecutar</w:t>
      </w:r>
      <w:r w:rsidR="00FB037B">
        <w:rPr>
          <w:rFonts w:eastAsia="Times New Roman" w:cstheme="minorHAnsi"/>
          <w:color w:val="000000"/>
          <w:szCs w:val="20"/>
          <w:lang w:eastAsia="es-ES"/>
        </w:rPr>
        <w:t xml:space="preserve"> debidamente su</w:t>
      </w:r>
      <w:r w:rsidRPr="00DF5443">
        <w:rPr>
          <w:rFonts w:eastAsia="Times New Roman" w:cstheme="minorHAnsi"/>
          <w:color w:val="000000"/>
          <w:szCs w:val="20"/>
          <w:lang w:eastAsia="es-ES"/>
        </w:rPr>
        <w:t xml:space="preserve"> </w:t>
      </w:r>
      <w:r w:rsidR="00FB037B">
        <w:rPr>
          <w:rFonts w:eastAsia="Times New Roman" w:cstheme="minorHAnsi"/>
          <w:color w:val="000000"/>
          <w:szCs w:val="20"/>
          <w:lang w:eastAsia="es-ES"/>
        </w:rPr>
        <w:t>p</w:t>
      </w:r>
      <w:r w:rsidRPr="00DF5443">
        <w:rPr>
          <w:rFonts w:eastAsia="Times New Roman" w:cstheme="minorHAnsi"/>
          <w:color w:val="000000"/>
          <w:szCs w:val="20"/>
          <w:lang w:eastAsia="es-ES"/>
        </w:rPr>
        <w:t xml:space="preserve">roceso de </w:t>
      </w:r>
      <w:r w:rsidR="00FB037B">
        <w:rPr>
          <w:rFonts w:eastAsia="Times New Roman" w:cstheme="minorHAnsi"/>
          <w:color w:val="000000"/>
          <w:szCs w:val="20"/>
          <w:lang w:eastAsia="es-ES"/>
        </w:rPr>
        <w:t>gestión</w:t>
      </w:r>
      <w:r w:rsidRPr="00DF5443">
        <w:rPr>
          <w:rFonts w:eastAsia="Times New Roman" w:cstheme="minorHAnsi"/>
          <w:color w:val="000000"/>
          <w:szCs w:val="20"/>
          <w:lang w:eastAsia="es-ES"/>
        </w:rPr>
        <w:t xml:space="preserve"> y alcanzar</w:t>
      </w:r>
      <w:r>
        <w:rPr>
          <w:rFonts w:eastAsia="Times New Roman" w:cstheme="minorHAnsi"/>
          <w:color w:val="000000"/>
          <w:szCs w:val="20"/>
          <w:lang w:eastAsia="es-ES"/>
        </w:rPr>
        <w:t xml:space="preserve"> </w:t>
      </w:r>
      <w:r w:rsidRPr="00DF5443">
        <w:rPr>
          <w:rFonts w:eastAsia="Times New Roman" w:cstheme="minorHAnsi"/>
          <w:color w:val="000000"/>
          <w:szCs w:val="20"/>
          <w:lang w:eastAsia="es-ES"/>
        </w:rPr>
        <w:t>sus objetivos.</w:t>
      </w:r>
    </w:p>
    <w:p w14:paraId="522CE382" w14:textId="20FFE63B" w:rsidR="0080027A" w:rsidRPr="00DF5443" w:rsidRDefault="0080027A" w:rsidP="0080027A">
      <w:pPr>
        <w:autoSpaceDE w:val="0"/>
        <w:autoSpaceDN w:val="0"/>
        <w:adjustRightInd w:val="0"/>
        <w:spacing w:before="120" w:after="120" w:line="240" w:lineRule="auto"/>
        <w:jc w:val="both"/>
        <w:rPr>
          <w:rFonts w:eastAsia="Times New Roman" w:cstheme="minorHAnsi"/>
          <w:color w:val="000000"/>
          <w:szCs w:val="20"/>
          <w:lang w:eastAsia="es-ES"/>
        </w:rPr>
      </w:pPr>
      <w:r>
        <w:rPr>
          <w:rFonts w:eastAsia="Times New Roman" w:cstheme="minorHAnsi"/>
          <w:color w:val="000000"/>
          <w:szCs w:val="20"/>
          <w:lang w:eastAsia="es-ES"/>
        </w:rPr>
        <w:t>E</w:t>
      </w:r>
      <w:r w:rsidRPr="00DF5443">
        <w:rPr>
          <w:rFonts w:eastAsia="Times New Roman" w:cstheme="minorHAnsi"/>
          <w:color w:val="000000"/>
          <w:szCs w:val="20"/>
          <w:lang w:eastAsia="es-ES"/>
        </w:rPr>
        <w:t xml:space="preserve">l </w:t>
      </w:r>
      <w:r>
        <w:rPr>
          <w:rFonts w:eastAsia="Times New Roman" w:cstheme="minorHAnsi"/>
          <w:color w:val="000000"/>
          <w:szCs w:val="20"/>
          <w:lang w:eastAsia="es-ES"/>
        </w:rPr>
        <w:t>auditor</w:t>
      </w:r>
      <w:r w:rsidRPr="00DF5443">
        <w:rPr>
          <w:rFonts w:eastAsia="Times New Roman" w:cstheme="minorHAnsi"/>
          <w:color w:val="000000"/>
          <w:szCs w:val="20"/>
          <w:lang w:eastAsia="es-ES"/>
        </w:rPr>
        <w:t xml:space="preserve"> debe identificar los</w:t>
      </w:r>
      <w:r>
        <w:rPr>
          <w:rFonts w:eastAsia="Times New Roman" w:cstheme="minorHAnsi"/>
          <w:color w:val="000000"/>
          <w:szCs w:val="20"/>
          <w:lang w:eastAsia="es-ES"/>
        </w:rPr>
        <w:t xml:space="preserve"> </w:t>
      </w:r>
      <w:r w:rsidRPr="00DF5443">
        <w:rPr>
          <w:rFonts w:eastAsia="Times New Roman" w:cstheme="minorHAnsi"/>
          <w:color w:val="000000"/>
          <w:szCs w:val="20"/>
          <w:lang w:eastAsia="es-ES"/>
        </w:rPr>
        <w:t>“riesgos significativos”, aquellos que representan riesgo</w:t>
      </w:r>
      <w:r>
        <w:rPr>
          <w:rFonts w:eastAsia="Times New Roman" w:cstheme="minorHAnsi"/>
          <w:color w:val="000000"/>
          <w:szCs w:val="20"/>
          <w:lang w:eastAsia="es-ES"/>
        </w:rPr>
        <w:t xml:space="preserve"> </w:t>
      </w:r>
      <w:r w:rsidRPr="00DF5443">
        <w:rPr>
          <w:rFonts w:eastAsia="Times New Roman" w:cstheme="minorHAnsi"/>
          <w:color w:val="000000"/>
          <w:szCs w:val="20"/>
          <w:lang w:eastAsia="es-ES"/>
        </w:rPr>
        <w:t xml:space="preserve">de </w:t>
      </w:r>
      <w:r>
        <w:rPr>
          <w:rFonts w:eastAsia="Times New Roman" w:cstheme="minorHAnsi"/>
          <w:color w:val="000000"/>
          <w:szCs w:val="20"/>
          <w:lang w:eastAsia="es-ES"/>
        </w:rPr>
        <w:t xml:space="preserve">incorrección </w:t>
      </w:r>
      <w:r w:rsidRPr="00DF5443">
        <w:rPr>
          <w:rFonts w:eastAsia="Times New Roman" w:cstheme="minorHAnsi"/>
          <w:color w:val="000000"/>
          <w:szCs w:val="20"/>
          <w:lang w:eastAsia="es-ES"/>
        </w:rPr>
        <w:t xml:space="preserve">material en los estados contables, </w:t>
      </w:r>
      <w:r>
        <w:rPr>
          <w:rFonts w:eastAsia="Times New Roman" w:cstheme="minorHAnsi"/>
          <w:color w:val="000000"/>
          <w:szCs w:val="20"/>
          <w:lang w:eastAsia="es-ES"/>
        </w:rPr>
        <w:t xml:space="preserve">ya </w:t>
      </w:r>
      <w:r w:rsidRPr="00DF5443">
        <w:rPr>
          <w:rFonts w:eastAsia="Times New Roman" w:cstheme="minorHAnsi"/>
          <w:color w:val="000000"/>
          <w:szCs w:val="20"/>
          <w:lang w:eastAsia="es-ES"/>
        </w:rPr>
        <w:t>que no todo</w:t>
      </w:r>
      <w:r>
        <w:rPr>
          <w:rFonts w:eastAsia="Times New Roman" w:cstheme="minorHAnsi"/>
          <w:color w:val="000000"/>
          <w:szCs w:val="20"/>
          <w:lang w:eastAsia="es-ES"/>
        </w:rPr>
        <w:t xml:space="preserve">s los </w:t>
      </w:r>
      <w:r w:rsidRPr="00DF5443">
        <w:rPr>
          <w:rFonts w:eastAsia="Times New Roman" w:cstheme="minorHAnsi"/>
          <w:color w:val="000000"/>
          <w:szCs w:val="20"/>
          <w:lang w:eastAsia="es-ES"/>
        </w:rPr>
        <w:t>riesgo</w:t>
      </w:r>
      <w:r>
        <w:rPr>
          <w:rFonts w:eastAsia="Times New Roman" w:cstheme="minorHAnsi"/>
          <w:color w:val="000000"/>
          <w:szCs w:val="20"/>
          <w:lang w:eastAsia="es-ES"/>
        </w:rPr>
        <w:t>s</w:t>
      </w:r>
      <w:r w:rsidRPr="00DF5443">
        <w:rPr>
          <w:rFonts w:eastAsia="Times New Roman" w:cstheme="minorHAnsi"/>
          <w:color w:val="000000"/>
          <w:szCs w:val="20"/>
          <w:lang w:eastAsia="es-ES"/>
        </w:rPr>
        <w:t xml:space="preserve"> de negocio </w:t>
      </w:r>
      <w:r>
        <w:rPr>
          <w:rFonts w:eastAsia="Times New Roman" w:cstheme="minorHAnsi"/>
          <w:color w:val="000000"/>
          <w:szCs w:val="20"/>
          <w:lang w:eastAsia="es-ES"/>
        </w:rPr>
        <w:t>son</w:t>
      </w:r>
      <w:r w:rsidRPr="00DF5443">
        <w:rPr>
          <w:rFonts w:eastAsia="Times New Roman" w:cstheme="minorHAnsi"/>
          <w:color w:val="000000"/>
          <w:szCs w:val="20"/>
          <w:lang w:eastAsia="es-ES"/>
        </w:rPr>
        <w:t xml:space="preserve"> </w:t>
      </w:r>
      <w:r>
        <w:rPr>
          <w:rFonts w:eastAsia="Times New Roman" w:cstheme="minorHAnsi"/>
          <w:color w:val="000000"/>
          <w:szCs w:val="20"/>
          <w:lang w:eastAsia="es-ES"/>
        </w:rPr>
        <w:t xml:space="preserve">relevantes </w:t>
      </w:r>
      <w:r w:rsidRPr="00DF5443">
        <w:rPr>
          <w:rFonts w:eastAsia="Times New Roman" w:cstheme="minorHAnsi"/>
          <w:color w:val="000000"/>
          <w:szCs w:val="20"/>
          <w:lang w:eastAsia="es-ES"/>
        </w:rPr>
        <w:t>para el auditor. Los riesgos significativos</w:t>
      </w:r>
      <w:r>
        <w:rPr>
          <w:rFonts w:eastAsia="Times New Roman" w:cstheme="minorHAnsi"/>
          <w:color w:val="000000"/>
          <w:szCs w:val="20"/>
          <w:lang w:eastAsia="es-ES"/>
        </w:rPr>
        <w:t xml:space="preserve"> </w:t>
      </w:r>
      <w:r w:rsidRPr="00DF5443">
        <w:rPr>
          <w:rFonts w:eastAsia="Times New Roman" w:cstheme="minorHAnsi"/>
          <w:color w:val="000000"/>
          <w:szCs w:val="20"/>
          <w:lang w:eastAsia="es-ES"/>
        </w:rPr>
        <w:t xml:space="preserve">deben ser </w:t>
      </w:r>
      <w:r>
        <w:rPr>
          <w:rFonts w:eastAsia="Times New Roman" w:cstheme="minorHAnsi"/>
          <w:color w:val="000000"/>
          <w:szCs w:val="20"/>
          <w:lang w:eastAsia="es-ES"/>
        </w:rPr>
        <w:t>valorados</w:t>
      </w:r>
      <w:r w:rsidRPr="00DF5443">
        <w:rPr>
          <w:rFonts w:eastAsia="Times New Roman" w:cstheme="minorHAnsi"/>
          <w:color w:val="000000"/>
          <w:szCs w:val="20"/>
          <w:lang w:eastAsia="es-ES"/>
        </w:rPr>
        <w:t xml:space="preserve"> en dos niveles: riesgos de </w:t>
      </w:r>
      <w:r>
        <w:rPr>
          <w:rFonts w:eastAsia="Times New Roman" w:cstheme="minorHAnsi"/>
          <w:color w:val="000000"/>
          <w:szCs w:val="20"/>
          <w:lang w:eastAsia="es-ES"/>
        </w:rPr>
        <w:t>incorrección</w:t>
      </w:r>
      <w:r w:rsidRPr="00DF5443">
        <w:rPr>
          <w:rFonts w:eastAsia="Times New Roman" w:cstheme="minorHAnsi"/>
          <w:color w:val="000000"/>
          <w:szCs w:val="20"/>
          <w:lang w:eastAsia="es-ES"/>
        </w:rPr>
        <w:t xml:space="preserve"> material </w:t>
      </w:r>
      <w:r w:rsidRPr="00DF5443">
        <w:rPr>
          <w:rFonts w:eastAsia="Times New Roman" w:cstheme="minorHAnsi"/>
          <w:color w:val="000000"/>
          <w:szCs w:val="20"/>
          <w:lang w:eastAsia="es-ES"/>
        </w:rPr>
        <w:lastRenderedPageBreak/>
        <w:t>a nivel de estado financiero (riesgos globales o generales) y a nivel</w:t>
      </w:r>
      <w:r>
        <w:rPr>
          <w:rFonts w:eastAsia="Times New Roman" w:cstheme="minorHAnsi"/>
          <w:color w:val="000000"/>
          <w:szCs w:val="20"/>
          <w:lang w:eastAsia="es-ES"/>
        </w:rPr>
        <w:t xml:space="preserve"> de las afirmaciones</w:t>
      </w:r>
      <w:r w:rsidRPr="00DF5443">
        <w:rPr>
          <w:rFonts w:eastAsia="Times New Roman" w:cstheme="minorHAnsi"/>
          <w:color w:val="000000"/>
          <w:szCs w:val="20"/>
          <w:lang w:eastAsia="es-ES"/>
        </w:rPr>
        <w:t xml:space="preserve"> para las clases de transacciones, saldos de cuentas y revelaciones</w:t>
      </w:r>
      <w:r w:rsidR="00D4109E">
        <w:rPr>
          <w:rFonts w:eastAsia="Times New Roman" w:cstheme="minorHAnsi"/>
          <w:color w:val="000000"/>
          <w:szCs w:val="20"/>
          <w:lang w:eastAsia="es-ES"/>
        </w:rPr>
        <w:t>.</w:t>
      </w:r>
    </w:p>
    <w:p w14:paraId="218239BC" w14:textId="14301C82" w:rsidR="002113F0" w:rsidRDefault="0080027A" w:rsidP="002113F0">
      <w:pPr>
        <w:autoSpaceDE w:val="0"/>
        <w:autoSpaceDN w:val="0"/>
        <w:adjustRightInd w:val="0"/>
        <w:spacing w:before="120" w:after="120" w:line="240" w:lineRule="auto"/>
        <w:jc w:val="both"/>
        <w:rPr>
          <w:rFonts w:eastAsia="Times New Roman" w:cstheme="minorHAnsi"/>
          <w:color w:val="000000"/>
          <w:szCs w:val="20"/>
          <w:lang w:eastAsia="es-ES"/>
        </w:rPr>
      </w:pPr>
      <w:r>
        <w:rPr>
          <w:rFonts w:eastAsia="Times New Roman" w:cstheme="minorHAnsi"/>
          <w:color w:val="000000"/>
          <w:szCs w:val="20"/>
          <w:lang w:eastAsia="es-ES"/>
        </w:rPr>
        <w:t>S</w:t>
      </w:r>
      <w:r w:rsidR="002113F0" w:rsidRPr="007B1A3D">
        <w:rPr>
          <w:rFonts w:eastAsia="Times New Roman" w:cstheme="minorHAnsi"/>
          <w:color w:val="000000"/>
          <w:szCs w:val="20"/>
          <w:lang w:eastAsia="es-ES"/>
        </w:rPr>
        <w:t>e debe identificar únicamente aquellos que</w:t>
      </w:r>
      <w:r w:rsidR="002113F0">
        <w:rPr>
          <w:rFonts w:eastAsia="Times New Roman" w:cstheme="minorHAnsi"/>
          <w:color w:val="000000"/>
          <w:szCs w:val="20"/>
          <w:lang w:eastAsia="es-ES"/>
        </w:rPr>
        <w:t xml:space="preserve"> </w:t>
      </w:r>
      <w:r w:rsidR="002113F0" w:rsidRPr="007B1A3D">
        <w:rPr>
          <w:rFonts w:eastAsia="Times New Roman" w:cstheme="minorHAnsi"/>
          <w:color w:val="000000"/>
          <w:szCs w:val="20"/>
          <w:lang w:eastAsia="es-ES"/>
        </w:rPr>
        <w:t>fueran relevantes para la auditoría financiera dentro del conjunto amplio de</w:t>
      </w:r>
      <w:r w:rsidR="002113F0">
        <w:rPr>
          <w:rFonts w:eastAsia="Times New Roman" w:cstheme="minorHAnsi"/>
          <w:color w:val="000000"/>
          <w:szCs w:val="20"/>
          <w:lang w:eastAsia="es-ES"/>
        </w:rPr>
        <w:t xml:space="preserve"> </w:t>
      </w:r>
      <w:r w:rsidR="002113F0" w:rsidRPr="007B1A3D">
        <w:rPr>
          <w:rFonts w:eastAsia="Times New Roman" w:cstheme="minorHAnsi"/>
          <w:color w:val="000000"/>
          <w:szCs w:val="20"/>
          <w:lang w:eastAsia="es-ES"/>
        </w:rPr>
        <w:t>riesgos que representa la nube —algunos que le son propios y otros</w:t>
      </w:r>
      <w:r w:rsidR="002113F0">
        <w:rPr>
          <w:rFonts w:eastAsia="Times New Roman" w:cstheme="minorHAnsi"/>
          <w:color w:val="000000"/>
          <w:szCs w:val="20"/>
          <w:lang w:eastAsia="es-ES"/>
        </w:rPr>
        <w:t xml:space="preserve"> </w:t>
      </w:r>
      <w:r w:rsidR="002113F0" w:rsidRPr="007B1A3D">
        <w:rPr>
          <w:rFonts w:eastAsia="Times New Roman" w:cstheme="minorHAnsi"/>
          <w:color w:val="000000"/>
          <w:szCs w:val="20"/>
          <w:lang w:eastAsia="es-ES"/>
        </w:rPr>
        <w:t xml:space="preserve">comunes </w:t>
      </w:r>
      <w:r>
        <w:rPr>
          <w:rFonts w:eastAsia="Times New Roman" w:cstheme="minorHAnsi"/>
          <w:color w:val="000000"/>
          <w:szCs w:val="20"/>
          <w:lang w:eastAsia="es-ES"/>
        </w:rPr>
        <w:t>a otras modalidades</w:t>
      </w:r>
      <w:r w:rsidR="00D4109E" w:rsidRPr="007B1A3D">
        <w:rPr>
          <w:rFonts w:eastAsia="Times New Roman" w:cstheme="minorHAnsi"/>
          <w:color w:val="000000"/>
          <w:szCs w:val="20"/>
          <w:lang w:eastAsia="es-ES"/>
        </w:rPr>
        <w:t>—</w:t>
      </w:r>
      <w:r w:rsidR="002113F0" w:rsidRPr="007B1A3D">
        <w:rPr>
          <w:rFonts w:eastAsia="Times New Roman" w:cstheme="minorHAnsi"/>
          <w:color w:val="000000"/>
          <w:szCs w:val="20"/>
          <w:lang w:eastAsia="es-ES"/>
        </w:rPr>
        <w:t xml:space="preserve"> pero que pueden</w:t>
      </w:r>
      <w:r w:rsidR="002113F0">
        <w:rPr>
          <w:rFonts w:eastAsia="Times New Roman" w:cstheme="minorHAnsi"/>
          <w:color w:val="000000"/>
          <w:szCs w:val="20"/>
          <w:lang w:eastAsia="es-ES"/>
        </w:rPr>
        <w:t xml:space="preserve"> </w:t>
      </w:r>
      <w:r w:rsidR="002113F0" w:rsidRPr="007B1A3D">
        <w:rPr>
          <w:rFonts w:eastAsia="Times New Roman" w:cstheme="minorHAnsi"/>
          <w:color w:val="000000"/>
          <w:szCs w:val="20"/>
          <w:lang w:eastAsia="es-ES"/>
        </w:rPr>
        <w:t>verse potenciados en este entorno</w:t>
      </w:r>
      <w:r w:rsidR="002113F0">
        <w:rPr>
          <w:rFonts w:eastAsia="Times New Roman" w:cstheme="minorHAnsi"/>
          <w:color w:val="000000"/>
          <w:szCs w:val="20"/>
          <w:lang w:eastAsia="es-ES"/>
        </w:rPr>
        <w:t>.</w:t>
      </w:r>
    </w:p>
    <w:p w14:paraId="42C5914E" w14:textId="46B99D01" w:rsidR="00FB037B" w:rsidRDefault="0080027A" w:rsidP="00AA730D">
      <w:pPr>
        <w:autoSpaceDE w:val="0"/>
        <w:autoSpaceDN w:val="0"/>
        <w:adjustRightInd w:val="0"/>
        <w:spacing w:before="120" w:after="120" w:line="240" w:lineRule="auto"/>
        <w:jc w:val="both"/>
        <w:rPr>
          <w:rFonts w:eastAsia="Times New Roman" w:cstheme="minorHAnsi"/>
          <w:color w:val="000000"/>
          <w:szCs w:val="20"/>
          <w:lang w:eastAsia="es-ES"/>
        </w:rPr>
      </w:pPr>
      <w:r>
        <w:rPr>
          <w:rFonts w:eastAsia="Times New Roman" w:cstheme="minorHAnsi"/>
          <w:color w:val="000000"/>
          <w:szCs w:val="20"/>
          <w:lang w:eastAsia="es-ES"/>
        </w:rPr>
        <w:t>Así pues,</w:t>
      </w:r>
      <w:r w:rsidR="00FB037B">
        <w:rPr>
          <w:rFonts w:eastAsia="Times New Roman" w:cstheme="minorHAnsi"/>
          <w:color w:val="000000"/>
          <w:szCs w:val="20"/>
          <w:lang w:eastAsia="es-ES"/>
        </w:rPr>
        <w:t xml:space="preserve"> </w:t>
      </w:r>
      <w:r>
        <w:rPr>
          <w:rFonts w:eastAsia="Times New Roman" w:cstheme="minorHAnsi"/>
          <w:color w:val="000000"/>
          <w:szCs w:val="20"/>
          <w:lang w:eastAsia="es-ES"/>
        </w:rPr>
        <w:t xml:space="preserve">además </w:t>
      </w:r>
      <w:r w:rsidR="00FB037B">
        <w:rPr>
          <w:rFonts w:eastAsia="Times New Roman" w:cstheme="minorHAnsi"/>
          <w:color w:val="000000"/>
          <w:szCs w:val="20"/>
          <w:lang w:eastAsia="es-ES"/>
        </w:rPr>
        <w:t>de los riesgos inherentes a la actividad del ente se deberán considerar los riesgos señalados en el apartado 4 anter</w:t>
      </w:r>
      <w:r>
        <w:rPr>
          <w:rFonts w:eastAsia="Times New Roman" w:cstheme="minorHAnsi"/>
          <w:color w:val="000000"/>
          <w:szCs w:val="20"/>
          <w:lang w:eastAsia="es-ES"/>
        </w:rPr>
        <w:t>ior y su efecto en la auditoria que se esté realizando.</w:t>
      </w:r>
    </w:p>
    <w:p w14:paraId="074C817B" w14:textId="715F4D33" w:rsidR="00AA730D" w:rsidRDefault="00AA730D" w:rsidP="00AA730D">
      <w:pPr>
        <w:autoSpaceDE w:val="0"/>
        <w:autoSpaceDN w:val="0"/>
        <w:adjustRightInd w:val="0"/>
        <w:spacing w:before="120" w:after="120" w:line="240" w:lineRule="auto"/>
        <w:jc w:val="both"/>
        <w:rPr>
          <w:rFonts w:eastAsia="Times New Roman" w:cstheme="minorHAnsi"/>
          <w:color w:val="000000"/>
          <w:szCs w:val="20"/>
          <w:lang w:eastAsia="es-ES"/>
        </w:rPr>
      </w:pPr>
      <w:r>
        <w:rPr>
          <w:rFonts w:eastAsia="Times New Roman" w:cstheme="minorHAnsi"/>
          <w:color w:val="000000"/>
          <w:szCs w:val="20"/>
          <w:lang w:eastAsia="es-ES"/>
        </w:rPr>
        <w:t>E</w:t>
      </w:r>
      <w:r w:rsidRPr="00DF5443">
        <w:rPr>
          <w:rFonts w:eastAsia="Times New Roman" w:cstheme="minorHAnsi"/>
          <w:color w:val="000000"/>
          <w:szCs w:val="20"/>
          <w:lang w:eastAsia="es-ES"/>
        </w:rPr>
        <w:t>l riesgo de auditoría es</w:t>
      </w:r>
      <w:r>
        <w:rPr>
          <w:rFonts w:eastAsia="Times New Roman" w:cstheme="minorHAnsi"/>
          <w:color w:val="000000"/>
          <w:szCs w:val="20"/>
          <w:lang w:eastAsia="es-ES"/>
        </w:rPr>
        <w:t xml:space="preserve"> </w:t>
      </w:r>
      <w:r w:rsidRPr="00DF5443">
        <w:rPr>
          <w:rFonts w:eastAsia="Times New Roman" w:cstheme="minorHAnsi"/>
          <w:color w:val="000000"/>
          <w:szCs w:val="20"/>
          <w:lang w:eastAsia="es-ES"/>
        </w:rPr>
        <w:t>creciente conforme se incrementa la complejidad del entorno informatizado</w:t>
      </w:r>
      <w:r>
        <w:rPr>
          <w:rFonts w:eastAsia="Times New Roman" w:cstheme="minorHAnsi"/>
          <w:color w:val="000000"/>
          <w:szCs w:val="20"/>
          <w:lang w:eastAsia="es-ES"/>
        </w:rPr>
        <w:t xml:space="preserve">. </w:t>
      </w:r>
    </w:p>
    <w:p w14:paraId="59C9095A" w14:textId="012C9747" w:rsidR="0080027A" w:rsidRDefault="0080027A" w:rsidP="002113F0">
      <w:pPr>
        <w:autoSpaceDE w:val="0"/>
        <w:autoSpaceDN w:val="0"/>
        <w:adjustRightInd w:val="0"/>
        <w:spacing w:before="120" w:after="0" w:line="240" w:lineRule="auto"/>
        <w:jc w:val="both"/>
        <w:rPr>
          <w:rFonts w:ascii="Calibri" w:hAnsi="Calibri" w:cs="Calibri"/>
          <w:lang w:val="es"/>
        </w:rPr>
      </w:pPr>
      <w:r>
        <w:rPr>
          <w:rFonts w:ascii="Calibri" w:hAnsi="Calibri" w:cs="Calibri"/>
          <w:lang w:val="es"/>
        </w:rPr>
        <w:t>Al realizar la reunión del equipo para analizar riesgos y documentarla según el Anexo 3 de la GPF-OCEX 1315 se deberá señalar si alguna de las aplicaciones significativas se ejecuta</w:t>
      </w:r>
      <w:r w:rsidR="00AE289D">
        <w:rPr>
          <w:rFonts w:ascii="Calibri" w:hAnsi="Calibri" w:cs="Calibri"/>
          <w:lang w:val="es"/>
        </w:rPr>
        <w:t xml:space="preserve"> en la nube y sus implicaciones en la auditoría.</w:t>
      </w:r>
    </w:p>
    <w:p w14:paraId="16B5FD39" w14:textId="68FD7A48" w:rsidR="00BF1987" w:rsidRPr="002113F0" w:rsidRDefault="005C7BA5" w:rsidP="00BF1987">
      <w:pPr>
        <w:autoSpaceDE w:val="0"/>
        <w:autoSpaceDN w:val="0"/>
        <w:adjustRightInd w:val="0"/>
        <w:spacing w:before="120" w:after="0" w:line="240" w:lineRule="auto"/>
        <w:jc w:val="both"/>
        <w:rPr>
          <w:rFonts w:ascii="Calibri" w:hAnsi="Calibri" w:cs="Calibri"/>
          <w:b/>
        </w:rPr>
      </w:pPr>
      <w:r>
        <w:rPr>
          <w:rFonts w:ascii="Calibri" w:hAnsi="Calibri" w:cs="Calibri"/>
          <w:b/>
        </w:rPr>
        <w:t>7</w:t>
      </w:r>
      <w:r w:rsidR="00AA730D" w:rsidRPr="002113F0">
        <w:rPr>
          <w:rFonts w:ascii="Calibri" w:hAnsi="Calibri" w:cs="Calibri"/>
          <w:b/>
        </w:rPr>
        <w:t>.3</w:t>
      </w:r>
      <w:r w:rsidR="00CF4D6D" w:rsidRPr="002113F0">
        <w:rPr>
          <w:rFonts w:ascii="Calibri" w:hAnsi="Calibri" w:cs="Calibri"/>
          <w:b/>
        </w:rPr>
        <w:tab/>
      </w:r>
      <w:r w:rsidR="00AA730D" w:rsidRPr="002113F0">
        <w:rPr>
          <w:rFonts w:ascii="Calibri" w:hAnsi="Calibri" w:cs="Calibri"/>
          <w:b/>
        </w:rPr>
        <w:t>Revisión de los CGTI</w:t>
      </w:r>
      <w:r w:rsidR="00734861">
        <w:rPr>
          <w:rFonts w:ascii="Calibri" w:hAnsi="Calibri" w:cs="Calibri"/>
          <w:b/>
        </w:rPr>
        <w:t xml:space="preserve"> y de los controles de aplicación</w:t>
      </w:r>
    </w:p>
    <w:p w14:paraId="6EC2F9BE" w14:textId="7EE2FA1A" w:rsidR="00151291" w:rsidRPr="00DF5443" w:rsidRDefault="00151291" w:rsidP="00151291">
      <w:pPr>
        <w:autoSpaceDE w:val="0"/>
        <w:autoSpaceDN w:val="0"/>
        <w:adjustRightInd w:val="0"/>
        <w:spacing w:before="120" w:after="120" w:line="240" w:lineRule="auto"/>
        <w:jc w:val="both"/>
        <w:rPr>
          <w:rFonts w:eastAsia="Times New Roman" w:cstheme="minorHAnsi"/>
          <w:color w:val="000000"/>
          <w:szCs w:val="20"/>
          <w:lang w:eastAsia="es-ES"/>
        </w:rPr>
      </w:pPr>
      <w:r w:rsidRPr="00DF5443">
        <w:rPr>
          <w:rFonts w:eastAsia="Times New Roman" w:cstheme="minorHAnsi"/>
          <w:color w:val="000000"/>
          <w:szCs w:val="20"/>
          <w:lang w:eastAsia="es-ES"/>
        </w:rPr>
        <w:t xml:space="preserve">Una vez obtenido un adecuado conocimiento del </w:t>
      </w:r>
      <w:r w:rsidR="00734861">
        <w:rPr>
          <w:rFonts w:eastAsia="Times New Roman" w:cstheme="minorHAnsi"/>
          <w:color w:val="000000"/>
          <w:szCs w:val="20"/>
          <w:lang w:eastAsia="es-ES"/>
        </w:rPr>
        <w:t xml:space="preserve">ente a auditar </w:t>
      </w:r>
      <w:r w:rsidRPr="00DF5443">
        <w:rPr>
          <w:rFonts w:eastAsia="Times New Roman" w:cstheme="minorHAnsi"/>
          <w:color w:val="000000"/>
          <w:szCs w:val="20"/>
          <w:lang w:eastAsia="es-ES"/>
        </w:rPr>
        <w:t>e identificados y</w:t>
      </w:r>
      <w:r>
        <w:rPr>
          <w:rFonts w:eastAsia="Times New Roman" w:cstheme="minorHAnsi"/>
          <w:color w:val="000000"/>
          <w:szCs w:val="20"/>
          <w:lang w:eastAsia="es-ES"/>
        </w:rPr>
        <w:t xml:space="preserve"> </w:t>
      </w:r>
      <w:r w:rsidRPr="00DF5443">
        <w:rPr>
          <w:rFonts w:eastAsia="Times New Roman" w:cstheme="minorHAnsi"/>
          <w:color w:val="000000"/>
          <w:szCs w:val="20"/>
          <w:lang w:eastAsia="es-ES"/>
        </w:rPr>
        <w:t>valorados los riesgos significativos, el auditor debe evaluar los controles</w:t>
      </w:r>
      <w:r>
        <w:rPr>
          <w:rFonts w:eastAsia="Times New Roman" w:cstheme="minorHAnsi"/>
          <w:color w:val="000000"/>
          <w:szCs w:val="20"/>
          <w:lang w:eastAsia="es-ES"/>
        </w:rPr>
        <w:t xml:space="preserve"> </w:t>
      </w:r>
      <w:r w:rsidRPr="00DF5443">
        <w:rPr>
          <w:rFonts w:eastAsia="Times New Roman" w:cstheme="minorHAnsi"/>
          <w:color w:val="000000"/>
          <w:szCs w:val="20"/>
          <w:lang w:eastAsia="es-ES"/>
        </w:rPr>
        <w:t>internos relevantes que sirven para prevenir, detectar o</w:t>
      </w:r>
      <w:r>
        <w:rPr>
          <w:rFonts w:eastAsia="Times New Roman" w:cstheme="minorHAnsi"/>
          <w:color w:val="000000"/>
          <w:szCs w:val="20"/>
          <w:lang w:eastAsia="es-ES"/>
        </w:rPr>
        <w:t xml:space="preserve"> </w:t>
      </w:r>
      <w:r w:rsidRPr="00DF5443">
        <w:rPr>
          <w:rFonts w:eastAsia="Times New Roman" w:cstheme="minorHAnsi"/>
          <w:color w:val="000000"/>
          <w:szCs w:val="20"/>
          <w:lang w:eastAsia="es-ES"/>
        </w:rPr>
        <w:t>corregir los errores en la información financiera,</w:t>
      </w:r>
      <w:r>
        <w:rPr>
          <w:rFonts w:eastAsia="Times New Roman" w:cstheme="minorHAnsi"/>
          <w:color w:val="000000"/>
          <w:szCs w:val="20"/>
          <w:lang w:eastAsia="es-ES"/>
        </w:rPr>
        <w:t xml:space="preserve"> </w:t>
      </w:r>
      <w:r w:rsidRPr="00DF5443">
        <w:rPr>
          <w:rFonts w:eastAsia="Times New Roman" w:cstheme="minorHAnsi"/>
          <w:color w:val="000000"/>
          <w:szCs w:val="20"/>
          <w:lang w:eastAsia="es-ES"/>
        </w:rPr>
        <w:t>definir el riesgo de control y determinar el enfoque de auditoría a aplicar</w:t>
      </w:r>
      <w:r>
        <w:rPr>
          <w:rFonts w:eastAsia="Times New Roman" w:cstheme="minorHAnsi"/>
          <w:color w:val="000000"/>
          <w:szCs w:val="20"/>
          <w:lang w:eastAsia="es-ES"/>
        </w:rPr>
        <w:t xml:space="preserve"> </w:t>
      </w:r>
      <w:r w:rsidR="00061E36">
        <w:rPr>
          <w:rFonts w:eastAsia="Times New Roman" w:cstheme="minorHAnsi"/>
          <w:color w:val="000000"/>
          <w:szCs w:val="20"/>
          <w:lang w:eastAsia="es-ES"/>
        </w:rPr>
        <w:t>(</w:t>
      </w:r>
      <w:r w:rsidRPr="00DF5443">
        <w:rPr>
          <w:rFonts w:eastAsia="Times New Roman" w:cstheme="minorHAnsi"/>
          <w:color w:val="000000"/>
          <w:szCs w:val="20"/>
          <w:lang w:eastAsia="es-ES"/>
        </w:rPr>
        <w:t>de cumplimiento o sustantivo</w:t>
      </w:r>
      <w:r w:rsidR="00061E36">
        <w:rPr>
          <w:rFonts w:eastAsia="Times New Roman" w:cstheme="minorHAnsi"/>
          <w:color w:val="000000"/>
          <w:szCs w:val="20"/>
          <w:lang w:eastAsia="es-ES"/>
        </w:rPr>
        <w:t>)</w:t>
      </w:r>
      <w:r w:rsidRPr="00DF5443">
        <w:rPr>
          <w:rFonts w:eastAsia="Times New Roman" w:cstheme="minorHAnsi"/>
          <w:color w:val="000000"/>
          <w:szCs w:val="20"/>
          <w:lang w:eastAsia="es-ES"/>
        </w:rPr>
        <w:t>.</w:t>
      </w:r>
      <w:r>
        <w:rPr>
          <w:rFonts w:eastAsia="Times New Roman" w:cstheme="minorHAnsi"/>
          <w:color w:val="000000"/>
          <w:szCs w:val="20"/>
          <w:lang w:eastAsia="es-ES"/>
        </w:rPr>
        <w:t xml:space="preserve"> </w:t>
      </w:r>
    </w:p>
    <w:p w14:paraId="540D6578" w14:textId="3D147EAC" w:rsidR="00151291" w:rsidRDefault="0080027A" w:rsidP="00151291">
      <w:pPr>
        <w:autoSpaceDE w:val="0"/>
        <w:autoSpaceDN w:val="0"/>
        <w:adjustRightInd w:val="0"/>
        <w:spacing w:before="120" w:after="120" w:line="240" w:lineRule="auto"/>
        <w:jc w:val="both"/>
        <w:rPr>
          <w:rFonts w:eastAsia="Times New Roman" w:cstheme="minorHAnsi"/>
          <w:color w:val="000000"/>
          <w:szCs w:val="20"/>
          <w:lang w:eastAsia="es-ES"/>
        </w:rPr>
      </w:pPr>
      <w:r>
        <w:rPr>
          <w:rFonts w:eastAsia="Times New Roman" w:cstheme="minorHAnsi"/>
          <w:color w:val="000000"/>
          <w:szCs w:val="20"/>
          <w:lang w:eastAsia="es-ES"/>
        </w:rPr>
        <w:t>E</w:t>
      </w:r>
      <w:r w:rsidR="00151291" w:rsidRPr="00DF5443">
        <w:rPr>
          <w:rFonts w:eastAsia="Times New Roman" w:cstheme="minorHAnsi"/>
          <w:color w:val="000000"/>
          <w:szCs w:val="20"/>
          <w:lang w:eastAsia="es-ES"/>
        </w:rPr>
        <w:t>l auditor obten</w:t>
      </w:r>
      <w:r w:rsidR="00734861">
        <w:rPr>
          <w:rFonts w:eastAsia="Times New Roman" w:cstheme="minorHAnsi"/>
          <w:color w:val="000000"/>
          <w:szCs w:val="20"/>
          <w:lang w:eastAsia="es-ES"/>
        </w:rPr>
        <w:t>drá</w:t>
      </w:r>
      <w:r w:rsidR="00151291" w:rsidRPr="00DF5443">
        <w:rPr>
          <w:rFonts w:eastAsia="Times New Roman" w:cstheme="minorHAnsi"/>
          <w:color w:val="000000"/>
          <w:szCs w:val="20"/>
          <w:lang w:eastAsia="es-ES"/>
        </w:rPr>
        <w:t xml:space="preserve"> información referida al diseño e</w:t>
      </w:r>
      <w:r w:rsidR="00151291">
        <w:rPr>
          <w:rFonts w:eastAsia="Times New Roman" w:cstheme="minorHAnsi"/>
          <w:color w:val="000000"/>
          <w:szCs w:val="20"/>
          <w:lang w:eastAsia="es-ES"/>
        </w:rPr>
        <w:t xml:space="preserve"> </w:t>
      </w:r>
      <w:r w:rsidR="00151291" w:rsidRPr="00DF5443">
        <w:rPr>
          <w:rFonts w:eastAsia="Times New Roman" w:cstheme="minorHAnsi"/>
          <w:color w:val="000000"/>
          <w:szCs w:val="20"/>
          <w:lang w:eastAsia="es-ES"/>
        </w:rPr>
        <w:t>implementación de los controles y defin</w:t>
      </w:r>
      <w:r w:rsidR="00734861">
        <w:rPr>
          <w:rFonts w:eastAsia="Times New Roman" w:cstheme="minorHAnsi"/>
          <w:color w:val="000000"/>
          <w:szCs w:val="20"/>
          <w:lang w:eastAsia="es-ES"/>
        </w:rPr>
        <w:t>irá</w:t>
      </w:r>
      <w:r w:rsidR="00151291" w:rsidRPr="00DF5443">
        <w:rPr>
          <w:rFonts w:eastAsia="Times New Roman" w:cstheme="minorHAnsi"/>
          <w:color w:val="000000"/>
          <w:szCs w:val="20"/>
          <w:lang w:eastAsia="es-ES"/>
        </w:rPr>
        <w:t xml:space="preserve"> el nivel de riesgo preliminar, en</w:t>
      </w:r>
      <w:r w:rsidR="00151291">
        <w:rPr>
          <w:rFonts w:eastAsia="Times New Roman" w:cstheme="minorHAnsi"/>
          <w:color w:val="000000"/>
          <w:szCs w:val="20"/>
          <w:lang w:eastAsia="es-ES"/>
        </w:rPr>
        <w:t xml:space="preserve"> </w:t>
      </w:r>
      <w:r w:rsidR="00151291" w:rsidRPr="00DF5443">
        <w:rPr>
          <w:rFonts w:eastAsia="Times New Roman" w:cstheme="minorHAnsi"/>
          <w:color w:val="000000"/>
          <w:szCs w:val="20"/>
          <w:lang w:eastAsia="es-ES"/>
        </w:rPr>
        <w:t>función del cual decid</w:t>
      </w:r>
      <w:r w:rsidR="00061E36">
        <w:rPr>
          <w:rFonts w:eastAsia="Times New Roman" w:cstheme="minorHAnsi"/>
          <w:color w:val="000000"/>
          <w:szCs w:val="20"/>
          <w:lang w:eastAsia="es-ES"/>
        </w:rPr>
        <w:t>irá</w:t>
      </w:r>
      <w:r w:rsidR="00151291" w:rsidRPr="00DF5443">
        <w:rPr>
          <w:rFonts w:eastAsia="Times New Roman" w:cstheme="minorHAnsi"/>
          <w:color w:val="000000"/>
          <w:szCs w:val="20"/>
          <w:lang w:eastAsia="es-ES"/>
        </w:rPr>
        <w:t xml:space="preserve"> si es conveniente continuar con el testeo de los</w:t>
      </w:r>
      <w:r w:rsidR="00151291">
        <w:rPr>
          <w:rFonts w:eastAsia="Times New Roman" w:cstheme="minorHAnsi"/>
          <w:color w:val="000000"/>
          <w:szCs w:val="20"/>
          <w:lang w:eastAsia="es-ES"/>
        </w:rPr>
        <w:t xml:space="preserve"> </w:t>
      </w:r>
      <w:r w:rsidR="00151291" w:rsidRPr="00DF5443">
        <w:rPr>
          <w:rFonts w:eastAsia="Times New Roman" w:cstheme="minorHAnsi"/>
          <w:color w:val="000000"/>
          <w:szCs w:val="20"/>
          <w:lang w:eastAsia="es-ES"/>
        </w:rPr>
        <w:t>controles mediante pruebas que permit</w:t>
      </w:r>
      <w:r w:rsidR="00061E36">
        <w:rPr>
          <w:rFonts w:eastAsia="Times New Roman" w:cstheme="minorHAnsi"/>
          <w:color w:val="000000"/>
          <w:szCs w:val="20"/>
          <w:lang w:eastAsia="es-ES"/>
        </w:rPr>
        <w:t>a</w:t>
      </w:r>
      <w:r w:rsidR="00151291" w:rsidRPr="00DF5443">
        <w:rPr>
          <w:rFonts w:eastAsia="Times New Roman" w:cstheme="minorHAnsi"/>
          <w:color w:val="000000"/>
          <w:szCs w:val="20"/>
          <w:lang w:eastAsia="es-ES"/>
        </w:rPr>
        <w:t>n evaluar su eficiencia operativa,</w:t>
      </w:r>
      <w:r w:rsidR="00151291">
        <w:rPr>
          <w:rFonts w:eastAsia="Times New Roman" w:cstheme="minorHAnsi"/>
          <w:color w:val="000000"/>
          <w:szCs w:val="20"/>
          <w:lang w:eastAsia="es-ES"/>
        </w:rPr>
        <w:t xml:space="preserve"> </w:t>
      </w:r>
      <w:r w:rsidR="00151291" w:rsidRPr="00DF5443">
        <w:rPr>
          <w:rFonts w:eastAsia="Times New Roman" w:cstheme="minorHAnsi"/>
          <w:color w:val="000000"/>
          <w:szCs w:val="20"/>
          <w:lang w:eastAsia="es-ES"/>
        </w:rPr>
        <w:t>aplicando un enfoque de cumplimiento si el riesgo de control es bajo o aplica</w:t>
      </w:r>
      <w:r w:rsidR="00061E36">
        <w:rPr>
          <w:rFonts w:eastAsia="Times New Roman" w:cstheme="minorHAnsi"/>
          <w:color w:val="000000"/>
          <w:szCs w:val="20"/>
          <w:lang w:eastAsia="es-ES"/>
        </w:rPr>
        <w:t>ndo</w:t>
      </w:r>
      <w:r w:rsidR="00151291" w:rsidRPr="00DF5443">
        <w:rPr>
          <w:rFonts w:eastAsia="Times New Roman" w:cstheme="minorHAnsi"/>
          <w:color w:val="000000"/>
          <w:szCs w:val="20"/>
          <w:lang w:eastAsia="es-ES"/>
        </w:rPr>
        <w:t xml:space="preserve"> un enfoque</w:t>
      </w:r>
      <w:r w:rsidR="00151291">
        <w:rPr>
          <w:rFonts w:eastAsia="Times New Roman" w:cstheme="minorHAnsi"/>
          <w:color w:val="000000"/>
          <w:szCs w:val="20"/>
          <w:lang w:eastAsia="es-ES"/>
        </w:rPr>
        <w:t xml:space="preserve"> </w:t>
      </w:r>
      <w:r w:rsidR="00151291" w:rsidRPr="00DF5443">
        <w:rPr>
          <w:rFonts w:eastAsia="Times New Roman" w:cstheme="minorHAnsi"/>
          <w:color w:val="000000"/>
          <w:szCs w:val="20"/>
          <w:lang w:eastAsia="es-ES"/>
        </w:rPr>
        <w:t xml:space="preserve">sustantivo, cuando el riesgo de control </w:t>
      </w:r>
      <w:r w:rsidR="00061E36">
        <w:rPr>
          <w:rFonts w:eastAsia="Times New Roman" w:cstheme="minorHAnsi"/>
          <w:color w:val="000000"/>
          <w:szCs w:val="20"/>
          <w:lang w:eastAsia="es-ES"/>
        </w:rPr>
        <w:t>sea</w:t>
      </w:r>
      <w:r w:rsidR="00061E36" w:rsidRPr="00DF5443">
        <w:rPr>
          <w:rFonts w:eastAsia="Times New Roman" w:cstheme="minorHAnsi"/>
          <w:color w:val="000000"/>
          <w:szCs w:val="20"/>
          <w:lang w:eastAsia="es-ES"/>
        </w:rPr>
        <w:t xml:space="preserve"> </w:t>
      </w:r>
      <w:r w:rsidR="00151291" w:rsidRPr="00DF5443">
        <w:rPr>
          <w:rFonts w:eastAsia="Times New Roman" w:cstheme="minorHAnsi"/>
          <w:color w:val="000000"/>
          <w:szCs w:val="20"/>
          <w:lang w:eastAsia="es-ES"/>
        </w:rPr>
        <w:t>muy alto.</w:t>
      </w:r>
      <w:r w:rsidR="00151291">
        <w:rPr>
          <w:rFonts w:eastAsia="Times New Roman" w:cstheme="minorHAnsi"/>
          <w:color w:val="000000"/>
          <w:szCs w:val="20"/>
          <w:lang w:eastAsia="es-ES"/>
        </w:rPr>
        <w:t xml:space="preserve"> </w:t>
      </w:r>
      <w:r w:rsidR="00151291" w:rsidRPr="00DF5443">
        <w:rPr>
          <w:rFonts w:eastAsia="Times New Roman" w:cstheme="minorHAnsi"/>
          <w:color w:val="000000"/>
          <w:szCs w:val="20"/>
          <w:lang w:eastAsia="es-ES"/>
        </w:rPr>
        <w:t>Dicho análisis debe ser realizado para dos categorías de controles, los</w:t>
      </w:r>
      <w:r w:rsidR="00151291">
        <w:rPr>
          <w:rFonts w:eastAsia="Times New Roman" w:cstheme="minorHAnsi"/>
          <w:color w:val="000000"/>
          <w:szCs w:val="20"/>
          <w:lang w:eastAsia="es-ES"/>
        </w:rPr>
        <w:t xml:space="preserve"> </w:t>
      </w:r>
      <w:r w:rsidR="00151291" w:rsidRPr="00DF5443">
        <w:rPr>
          <w:rFonts w:eastAsia="Times New Roman" w:cstheme="minorHAnsi"/>
          <w:color w:val="000000"/>
          <w:szCs w:val="20"/>
          <w:lang w:eastAsia="es-ES"/>
        </w:rPr>
        <w:t>generales y los de aplicación, evaluándolos</w:t>
      </w:r>
      <w:r w:rsidR="00151291">
        <w:rPr>
          <w:rFonts w:eastAsia="Times New Roman" w:cstheme="minorHAnsi"/>
          <w:color w:val="000000"/>
          <w:szCs w:val="20"/>
          <w:lang w:eastAsia="es-ES"/>
        </w:rPr>
        <w:t xml:space="preserve"> </w:t>
      </w:r>
      <w:r w:rsidR="00151291" w:rsidRPr="00DF5443">
        <w:rPr>
          <w:rFonts w:eastAsia="Times New Roman" w:cstheme="minorHAnsi"/>
          <w:color w:val="000000"/>
          <w:szCs w:val="20"/>
          <w:lang w:eastAsia="es-ES"/>
        </w:rPr>
        <w:t>en ese orden</w:t>
      </w:r>
      <w:r w:rsidR="00061E36">
        <w:rPr>
          <w:rFonts w:eastAsia="Times New Roman" w:cstheme="minorHAnsi"/>
          <w:color w:val="000000"/>
          <w:szCs w:val="20"/>
          <w:lang w:eastAsia="es-ES"/>
        </w:rPr>
        <w:t>,</w:t>
      </w:r>
      <w:r w:rsidR="00151291" w:rsidRPr="00DF5443">
        <w:rPr>
          <w:rFonts w:eastAsia="Times New Roman" w:cstheme="minorHAnsi"/>
          <w:color w:val="000000"/>
          <w:szCs w:val="20"/>
          <w:lang w:eastAsia="es-ES"/>
        </w:rPr>
        <w:t xml:space="preserve"> en la medida en que el mal funcionamiento de los primeros</w:t>
      </w:r>
      <w:r w:rsidR="00151291">
        <w:rPr>
          <w:rFonts w:eastAsia="Times New Roman" w:cstheme="minorHAnsi"/>
          <w:color w:val="000000"/>
          <w:szCs w:val="20"/>
          <w:lang w:eastAsia="es-ES"/>
        </w:rPr>
        <w:t xml:space="preserve"> </w:t>
      </w:r>
      <w:r w:rsidR="00151291" w:rsidRPr="00DF5443">
        <w:rPr>
          <w:rFonts w:eastAsia="Times New Roman" w:cstheme="minorHAnsi"/>
          <w:color w:val="000000"/>
          <w:szCs w:val="20"/>
          <w:lang w:eastAsia="es-ES"/>
        </w:rPr>
        <w:t>invalida los segundos, dando lugar a manifestaciones erróneas en los estados</w:t>
      </w:r>
      <w:r w:rsidR="00151291">
        <w:rPr>
          <w:rFonts w:eastAsia="Times New Roman" w:cstheme="minorHAnsi"/>
          <w:color w:val="000000"/>
          <w:szCs w:val="20"/>
          <w:lang w:eastAsia="es-ES"/>
        </w:rPr>
        <w:t xml:space="preserve"> </w:t>
      </w:r>
      <w:r w:rsidR="00151291" w:rsidRPr="00DF5443">
        <w:rPr>
          <w:rFonts w:eastAsia="Times New Roman" w:cstheme="minorHAnsi"/>
          <w:color w:val="000000"/>
          <w:szCs w:val="20"/>
          <w:lang w:eastAsia="es-ES"/>
        </w:rPr>
        <w:t>contables sin que sean detectadas.</w:t>
      </w:r>
      <w:r w:rsidR="00151291">
        <w:rPr>
          <w:rFonts w:eastAsia="Times New Roman" w:cstheme="minorHAnsi"/>
          <w:color w:val="000000"/>
          <w:szCs w:val="20"/>
          <w:lang w:eastAsia="es-ES"/>
        </w:rPr>
        <w:t xml:space="preserve"> </w:t>
      </w:r>
    </w:p>
    <w:p w14:paraId="1CBE1D97" w14:textId="6AB9F271" w:rsidR="00734861" w:rsidRDefault="00734861" w:rsidP="00B40F5F">
      <w:pPr>
        <w:pStyle w:val="Prrafodelista"/>
        <w:autoSpaceDE w:val="0"/>
        <w:autoSpaceDN w:val="0"/>
        <w:adjustRightInd w:val="0"/>
        <w:spacing w:before="120" w:after="120" w:line="240" w:lineRule="auto"/>
        <w:ind w:left="0"/>
        <w:jc w:val="both"/>
        <w:rPr>
          <w:rFonts w:ascii="Calibri" w:hAnsi="Calibri" w:cs="Calibri"/>
        </w:rPr>
      </w:pPr>
      <w:r>
        <w:rPr>
          <w:rFonts w:ascii="Calibri" w:hAnsi="Calibri" w:cs="Calibri"/>
        </w:rPr>
        <w:t xml:space="preserve">La auditoría deberá revisar los </w:t>
      </w:r>
      <w:r w:rsidR="00B40F5F" w:rsidRPr="00B40F5F">
        <w:rPr>
          <w:rFonts w:eastAsia="Times New Roman" w:cstheme="minorHAnsi"/>
          <w:b/>
          <w:color w:val="000000"/>
          <w:szCs w:val="20"/>
          <w:lang w:eastAsia="es-ES"/>
        </w:rPr>
        <w:t>Controles Generales de TI</w:t>
      </w:r>
      <w:r w:rsidR="00B40F5F">
        <w:rPr>
          <w:rFonts w:eastAsia="Times New Roman" w:cstheme="minorHAnsi"/>
          <w:color w:val="000000"/>
          <w:szCs w:val="20"/>
          <w:u w:val="single"/>
          <w:lang w:eastAsia="es-ES"/>
        </w:rPr>
        <w:t xml:space="preserve"> (CGTI)</w:t>
      </w:r>
      <w:r>
        <w:rPr>
          <w:rFonts w:ascii="Calibri" w:hAnsi="Calibri" w:cs="Calibri"/>
        </w:rPr>
        <w:t xml:space="preserve"> de acuerdo con lo previsto en la GPF-OCEX 5330</w:t>
      </w:r>
      <w:r w:rsidR="0071128C">
        <w:rPr>
          <w:rFonts w:ascii="Calibri" w:hAnsi="Calibri" w:cs="Calibri"/>
        </w:rPr>
        <w:t xml:space="preserve"> particularizando la aplicabilidad de estos al tipo de servicio cloud y a las características específicas del entorno del ente auditado.</w:t>
      </w:r>
    </w:p>
    <w:p w14:paraId="3596F3F1" w14:textId="29DF401D" w:rsidR="0071128C" w:rsidRDefault="0071128C" w:rsidP="00734861">
      <w:pPr>
        <w:pStyle w:val="Prrafodelista"/>
        <w:autoSpaceDE w:val="0"/>
        <w:autoSpaceDN w:val="0"/>
        <w:adjustRightInd w:val="0"/>
        <w:spacing w:before="120" w:after="0" w:line="240" w:lineRule="auto"/>
        <w:ind w:left="0"/>
        <w:contextualSpacing w:val="0"/>
        <w:jc w:val="both"/>
        <w:rPr>
          <w:rFonts w:eastAsia="Times New Roman" w:cstheme="minorHAnsi"/>
          <w:b/>
          <w:lang w:eastAsia="es-ES"/>
        </w:rPr>
      </w:pPr>
      <w:r>
        <w:rPr>
          <w:rFonts w:cstheme="minorHAnsi"/>
          <w:lang w:val="es"/>
        </w:rPr>
        <w:t xml:space="preserve">El Anexo </w:t>
      </w:r>
      <w:r w:rsidR="00DF5F6F">
        <w:rPr>
          <w:rFonts w:cstheme="minorHAnsi"/>
          <w:lang w:val="es"/>
        </w:rPr>
        <w:t>1</w:t>
      </w:r>
      <w:r>
        <w:rPr>
          <w:rFonts w:cstheme="minorHAnsi"/>
          <w:lang w:val="es"/>
        </w:rPr>
        <w:t xml:space="preserve"> se incluye una guía </w:t>
      </w:r>
      <w:r>
        <w:rPr>
          <w:rFonts w:eastAsia="Times New Roman" w:cstheme="minorHAnsi"/>
          <w:b/>
          <w:lang w:eastAsia="es-ES"/>
        </w:rPr>
        <w:t>g</w:t>
      </w:r>
      <w:r w:rsidRPr="0071128C">
        <w:rPr>
          <w:rFonts w:eastAsia="Times New Roman" w:cstheme="minorHAnsi"/>
          <w:lang w:eastAsia="es-ES"/>
        </w:rPr>
        <w:t>eneral para realizar esta tarea, si bien se debe señalar que ésta deberá ser modificada convenientemente en función de las características propias de los sistemas de TI y el entorno cloud presente en cada entidad.</w:t>
      </w:r>
      <w:r>
        <w:rPr>
          <w:rFonts w:eastAsia="Times New Roman" w:cstheme="minorHAnsi"/>
          <w:b/>
          <w:lang w:eastAsia="es-ES"/>
        </w:rPr>
        <w:t xml:space="preserve"> </w:t>
      </w:r>
    </w:p>
    <w:p w14:paraId="05485C85" w14:textId="766E67A5" w:rsidR="00BA3B16" w:rsidRDefault="00BA3B16" w:rsidP="00F06B59">
      <w:pPr>
        <w:spacing w:before="120" w:after="0" w:line="240" w:lineRule="auto"/>
        <w:jc w:val="both"/>
      </w:pPr>
      <w:r>
        <w:t xml:space="preserve">En la </w:t>
      </w:r>
      <w:r w:rsidR="00047A2B">
        <w:t>verif</w:t>
      </w:r>
      <w:r>
        <w:t xml:space="preserve">icación de los </w:t>
      </w:r>
      <w:r w:rsidR="002A1F60">
        <w:t>CGTI</w:t>
      </w:r>
      <w:r w:rsidR="001532FA">
        <w:t xml:space="preserve"> el auditor deberá </w:t>
      </w:r>
      <w:r w:rsidR="007D6CDF">
        <w:t>hacer hincapié</w:t>
      </w:r>
      <w:r w:rsidR="002A1F60">
        <w:t xml:space="preserve"> en la revisión del contrato y en el seguimiento del cumplimiento de los indicadores de nivel de servicio establecidos en éste, tal y como se ha indicado en el punto 6 de esta guía.</w:t>
      </w:r>
    </w:p>
    <w:p w14:paraId="307A4CCD" w14:textId="1DBE1B21" w:rsidR="00047A2B" w:rsidRPr="001532FA" w:rsidRDefault="002A1F60" w:rsidP="001532FA">
      <w:pPr>
        <w:autoSpaceDE w:val="0"/>
        <w:autoSpaceDN w:val="0"/>
        <w:adjustRightInd w:val="0"/>
        <w:spacing w:before="120" w:after="0" w:line="240" w:lineRule="auto"/>
        <w:jc w:val="both"/>
        <w:rPr>
          <w:rFonts w:ascii="Calibri" w:hAnsi="Calibri" w:cs="Calibri"/>
        </w:rPr>
      </w:pPr>
      <w:r>
        <w:rPr>
          <w:rFonts w:ascii="Calibri" w:hAnsi="Calibri" w:cs="Calibri"/>
        </w:rPr>
        <w:t>Por último, cabe señalar que d</w:t>
      </w:r>
      <w:r w:rsidRPr="00844BE5">
        <w:rPr>
          <w:rFonts w:ascii="Calibri" w:hAnsi="Calibri" w:cs="Calibri"/>
        </w:rPr>
        <w:t xml:space="preserve">eterminadas comprobaciones </w:t>
      </w:r>
      <w:r>
        <w:rPr>
          <w:rFonts w:ascii="Calibri" w:hAnsi="Calibri" w:cs="Calibri"/>
        </w:rPr>
        <w:t xml:space="preserve">de los CGTI </w:t>
      </w:r>
      <w:r w:rsidRPr="00844BE5">
        <w:rPr>
          <w:rFonts w:ascii="Calibri" w:hAnsi="Calibri" w:cs="Calibri"/>
        </w:rPr>
        <w:t>podrán darse por cumplidas si las aplicaciones auditadas cumplen legalmente con auditorías de segur</w:t>
      </w:r>
      <w:r>
        <w:rPr>
          <w:rFonts w:ascii="Calibri" w:hAnsi="Calibri" w:cs="Calibri"/>
        </w:rPr>
        <w:t>idad (ENS, protección de datos), tal como se señala en la GPF-OCEX 5330.</w:t>
      </w:r>
    </w:p>
    <w:p w14:paraId="0DAA0F1F" w14:textId="40CEA4A0" w:rsidR="00172B48" w:rsidRDefault="00734861" w:rsidP="00F06B59">
      <w:pPr>
        <w:spacing w:before="120" w:after="0" w:line="240" w:lineRule="auto"/>
        <w:jc w:val="both"/>
        <w:rPr>
          <w:rFonts w:ascii="Calibri" w:hAnsi="Calibri" w:cs="Calibri"/>
          <w:lang w:val="es"/>
        </w:rPr>
      </w:pPr>
      <w:r>
        <w:rPr>
          <w:rFonts w:ascii="Calibri" w:hAnsi="Calibri" w:cs="Calibri"/>
          <w:lang w:val="es"/>
        </w:rPr>
        <w:t xml:space="preserve">En la revisión de los </w:t>
      </w:r>
      <w:r w:rsidRPr="00B40F5F">
        <w:rPr>
          <w:rFonts w:ascii="Calibri" w:hAnsi="Calibri" w:cs="Calibri"/>
          <w:b/>
          <w:lang w:val="es"/>
        </w:rPr>
        <w:t>controles de aplicación</w:t>
      </w:r>
      <w:r>
        <w:rPr>
          <w:rFonts w:ascii="Calibri" w:hAnsi="Calibri" w:cs="Calibri"/>
          <w:lang w:val="es"/>
        </w:rPr>
        <w:t xml:space="preserve"> y de las </w:t>
      </w:r>
      <w:r w:rsidRPr="00B40F5F">
        <w:rPr>
          <w:rFonts w:ascii="Calibri" w:hAnsi="Calibri" w:cs="Calibri"/>
          <w:b/>
          <w:lang w:val="es"/>
        </w:rPr>
        <w:t>interfaces</w:t>
      </w:r>
      <w:r>
        <w:rPr>
          <w:rFonts w:ascii="Calibri" w:hAnsi="Calibri" w:cs="Calibri"/>
          <w:lang w:val="es"/>
        </w:rPr>
        <w:t xml:space="preserve"> se seguirá la metodología ordinaria (GPF-OCEX 5340) teniendo muy en cuenta los riesgos derivados de su gestión en la nube.</w:t>
      </w:r>
    </w:p>
    <w:p w14:paraId="706656A8" w14:textId="757B778F" w:rsidR="00187F2B" w:rsidRPr="002113F0" w:rsidRDefault="005C7BA5" w:rsidP="00CF4D6D">
      <w:pPr>
        <w:spacing w:before="120" w:after="0" w:line="240" w:lineRule="auto"/>
        <w:ind w:left="567" w:hanging="567"/>
        <w:jc w:val="both"/>
        <w:rPr>
          <w:rFonts w:ascii="Calibri" w:hAnsi="Calibri" w:cs="Calibri"/>
          <w:b/>
        </w:rPr>
      </w:pPr>
      <w:r>
        <w:rPr>
          <w:rFonts w:ascii="Calibri" w:hAnsi="Calibri" w:cs="Calibri"/>
          <w:b/>
        </w:rPr>
        <w:t>7</w:t>
      </w:r>
      <w:r w:rsidR="00187F2B" w:rsidRPr="002113F0">
        <w:rPr>
          <w:rFonts w:ascii="Calibri" w:hAnsi="Calibri" w:cs="Calibri"/>
          <w:b/>
        </w:rPr>
        <w:t>.</w:t>
      </w:r>
      <w:r>
        <w:rPr>
          <w:rFonts w:ascii="Calibri" w:hAnsi="Calibri" w:cs="Calibri"/>
          <w:b/>
        </w:rPr>
        <w:t>4</w:t>
      </w:r>
      <w:r w:rsidR="00CF4D6D" w:rsidRPr="002113F0">
        <w:rPr>
          <w:rFonts w:ascii="Calibri" w:hAnsi="Calibri" w:cs="Calibri"/>
          <w:b/>
        </w:rPr>
        <w:tab/>
      </w:r>
      <w:r w:rsidR="0080027A">
        <w:rPr>
          <w:rFonts w:ascii="Calibri" w:hAnsi="Calibri" w:cs="Calibri"/>
          <w:b/>
        </w:rPr>
        <w:t>O</w:t>
      </w:r>
      <w:r w:rsidR="00187F2B" w:rsidRPr="002113F0">
        <w:rPr>
          <w:rFonts w:ascii="Calibri" w:hAnsi="Calibri" w:cs="Calibri"/>
          <w:b/>
        </w:rPr>
        <w:t xml:space="preserve">btención de evidencia </w:t>
      </w:r>
      <w:r w:rsidR="006C194E" w:rsidRPr="002113F0">
        <w:rPr>
          <w:rFonts w:ascii="Calibri" w:hAnsi="Calibri" w:cs="Calibri"/>
          <w:b/>
        </w:rPr>
        <w:t>electrónica</w:t>
      </w:r>
      <w:r w:rsidR="0080027A">
        <w:rPr>
          <w:rFonts w:ascii="Calibri" w:hAnsi="Calibri" w:cs="Calibri"/>
          <w:b/>
        </w:rPr>
        <w:t xml:space="preserve"> y</w:t>
      </w:r>
      <w:r w:rsidR="00187F2B" w:rsidRPr="002113F0">
        <w:rPr>
          <w:rFonts w:ascii="Calibri" w:hAnsi="Calibri" w:cs="Calibri"/>
          <w:b/>
        </w:rPr>
        <w:t xml:space="preserve"> </w:t>
      </w:r>
      <w:r w:rsidR="0080027A">
        <w:rPr>
          <w:rFonts w:ascii="Calibri" w:hAnsi="Calibri" w:cs="Calibri"/>
          <w:b/>
        </w:rPr>
        <w:t>u</w:t>
      </w:r>
      <w:r w:rsidR="00187F2B" w:rsidRPr="002113F0">
        <w:rPr>
          <w:rFonts w:ascii="Calibri" w:hAnsi="Calibri" w:cs="Calibri"/>
          <w:b/>
        </w:rPr>
        <w:t>so de herramientas ADA.</w:t>
      </w:r>
    </w:p>
    <w:p w14:paraId="74EBA8EE" w14:textId="496131F3" w:rsidR="00187F2B" w:rsidRPr="00DF5443" w:rsidRDefault="00187F2B" w:rsidP="00187F2B">
      <w:pPr>
        <w:autoSpaceDE w:val="0"/>
        <w:autoSpaceDN w:val="0"/>
        <w:adjustRightInd w:val="0"/>
        <w:spacing w:before="120" w:after="120" w:line="240" w:lineRule="auto"/>
        <w:jc w:val="both"/>
        <w:rPr>
          <w:rFonts w:eastAsia="Times New Roman" w:cstheme="minorHAnsi"/>
          <w:color w:val="000000"/>
          <w:szCs w:val="20"/>
          <w:lang w:eastAsia="es-ES"/>
        </w:rPr>
      </w:pPr>
      <w:r w:rsidRPr="00DF5443">
        <w:rPr>
          <w:rFonts w:eastAsia="Times New Roman" w:cstheme="minorHAnsi"/>
          <w:color w:val="000000"/>
          <w:szCs w:val="20"/>
          <w:lang w:eastAsia="es-ES"/>
        </w:rPr>
        <w:t>Las evidencias de auditoría comprenden toda la información utilizada por</w:t>
      </w:r>
      <w:r>
        <w:rPr>
          <w:rFonts w:eastAsia="Times New Roman" w:cstheme="minorHAnsi"/>
          <w:color w:val="000000"/>
          <w:szCs w:val="20"/>
          <w:lang w:eastAsia="es-ES"/>
        </w:rPr>
        <w:t xml:space="preserve"> </w:t>
      </w:r>
      <w:r w:rsidRPr="00DF5443">
        <w:rPr>
          <w:rFonts w:eastAsia="Times New Roman" w:cstheme="minorHAnsi"/>
          <w:color w:val="000000"/>
          <w:szCs w:val="20"/>
          <w:lang w:eastAsia="es-ES"/>
        </w:rPr>
        <w:t xml:space="preserve">el auditor para alcanzar las conclusiones </w:t>
      </w:r>
      <w:r w:rsidR="0077716E">
        <w:rPr>
          <w:rFonts w:eastAsia="Times New Roman" w:cstheme="minorHAnsi"/>
          <w:color w:val="000000"/>
          <w:szCs w:val="20"/>
          <w:lang w:eastAsia="es-ES"/>
        </w:rPr>
        <w:t>a partir de las cuales emite su informe</w:t>
      </w:r>
      <w:r w:rsidR="00473298">
        <w:rPr>
          <w:rFonts w:eastAsia="Times New Roman" w:cstheme="minorHAnsi"/>
          <w:color w:val="000000"/>
          <w:szCs w:val="20"/>
          <w:lang w:eastAsia="es-ES"/>
        </w:rPr>
        <w:t>,</w:t>
      </w:r>
      <w:r w:rsidRPr="00DF5443">
        <w:rPr>
          <w:rFonts w:eastAsia="Times New Roman" w:cstheme="minorHAnsi"/>
          <w:color w:val="000000"/>
          <w:szCs w:val="20"/>
          <w:lang w:eastAsia="es-ES"/>
        </w:rPr>
        <w:t xml:space="preserve"> e incluyen tanto la información contenida en los registros</w:t>
      </w:r>
      <w:r>
        <w:rPr>
          <w:rFonts w:eastAsia="Times New Roman" w:cstheme="minorHAnsi"/>
          <w:color w:val="000000"/>
          <w:szCs w:val="20"/>
          <w:lang w:eastAsia="es-ES"/>
        </w:rPr>
        <w:t xml:space="preserve"> </w:t>
      </w:r>
      <w:r w:rsidRPr="00DF5443">
        <w:rPr>
          <w:rFonts w:eastAsia="Times New Roman" w:cstheme="minorHAnsi"/>
          <w:color w:val="000000"/>
          <w:szCs w:val="20"/>
          <w:lang w:eastAsia="es-ES"/>
        </w:rPr>
        <w:t>contables de los que se obtienen los estados financieros, como otra</w:t>
      </w:r>
      <w:r>
        <w:rPr>
          <w:rFonts w:eastAsia="Times New Roman" w:cstheme="minorHAnsi"/>
          <w:color w:val="000000"/>
          <w:szCs w:val="20"/>
          <w:lang w:eastAsia="es-ES"/>
        </w:rPr>
        <w:t xml:space="preserve"> </w:t>
      </w:r>
      <w:r w:rsidRPr="00DF5443">
        <w:rPr>
          <w:rFonts w:eastAsia="Times New Roman" w:cstheme="minorHAnsi"/>
          <w:color w:val="000000"/>
          <w:szCs w:val="20"/>
          <w:lang w:eastAsia="es-ES"/>
        </w:rPr>
        <w:t>información. A través de ellas, el</w:t>
      </w:r>
      <w:r>
        <w:rPr>
          <w:rFonts w:eastAsia="Times New Roman" w:cstheme="minorHAnsi"/>
          <w:color w:val="000000"/>
          <w:szCs w:val="20"/>
          <w:lang w:eastAsia="es-ES"/>
        </w:rPr>
        <w:t xml:space="preserve"> </w:t>
      </w:r>
      <w:r w:rsidRPr="00DF5443">
        <w:rPr>
          <w:rFonts w:eastAsia="Times New Roman" w:cstheme="minorHAnsi"/>
          <w:color w:val="000000"/>
          <w:szCs w:val="20"/>
          <w:lang w:eastAsia="es-ES"/>
        </w:rPr>
        <w:t>profesional pretende determinar si la información auditada se presenta de</w:t>
      </w:r>
      <w:r>
        <w:rPr>
          <w:rFonts w:eastAsia="Times New Roman" w:cstheme="minorHAnsi"/>
          <w:color w:val="000000"/>
          <w:szCs w:val="20"/>
          <w:lang w:eastAsia="es-ES"/>
        </w:rPr>
        <w:t xml:space="preserve"> </w:t>
      </w:r>
      <w:r w:rsidRPr="00DF5443">
        <w:rPr>
          <w:rFonts w:eastAsia="Times New Roman" w:cstheme="minorHAnsi"/>
          <w:color w:val="000000"/>
          <w:szCs w:val="20"/>
          <w:lang w:eastAsia="es-ES"/>
        </w:rPr>
        <w:t xml:space="preserve">acuerdo con el criterio establecido y si los estados financieros </w:t>
      </w:r>
      <w:r w:rsidR="0077716E">
        <w:rPr>
          <w:rFonts w:eastAsia="Times New Roman" w:cstheme="minorHAnsi"/>
          <w:color w:val="000000"/>
          <w:szCs w:val="20"/>
          <w:lang w:eastAsia="es-ES"/>
        </w:rPr>
        <w:t>representan la imagen fiel.</w:t>
      </w:r>
    </w:p>
    <w:p w14:paraId="0FBC9B4A" w14:textId="5D75D68F" w:rsidR="00187F2B" w:rsidRPr="00DF5443" w:rsidRDefault="0077716E" w:rsidP="00187F2B">
      <w:pPr>
        <w:autoSpaceDE w:val="0"/>
        <w:autoSpaceDN w:val="0"/>
        <w:adjustRightInd w:val="0"/>
        <w:spacing w:before="120" w:after="120" w:line="240" w:lineRule="auto"/>
        <w:jc w:val="both"/>
        <w:rPr>
          <w:rFonts w:eastAsia="Times New Roman" w:cstheme="minorHAnsi"/>
          <w:color w:val="000000"/>
          <w:szCs w:val="20"/>
          <w:lang w:eastAsia="es-ES"/>
        </w:rPr>
      </w:pPr>
      <w:r>
        <w:rPr>
          <w:rFonts w:eastAsia="Times New Roman" w:cstheme="minorHAnsi"/>
          <w:color w:val="000000"/>
          <w:szCs w:val="20"/>
          <w:lang w:eastAsia="es-ES"/>
        </w:rPr>
        <w:lastRenderedPageBreak/>
        <w:t>N</w:t>
      </w:r>
      <w:r w:rsidR="00187F2B" w:rsidRPr="00DF5443">
        <w:rPr>
          <w:rFonts w:eastAsia="Times New Roman" w:cstheme="minorHAnsi"/>
          <w:color w:val="000000"/>
          <w:szCs w:val="20"/>
          <w:lang w:eastAsia="es-ES"/>
        </w:rPr>
        <w:t>o es posible la estandarización de procedimientos para</w:t>
      </w:r>
      <w:r w:rsidR="00187F2B">
        <w:rPr>
          <w:rFonts w:eastAsia="Times New Roman" w:cstheme="minorHAnsi"/>
          <w:color w:val="000000"/>
          <w:szCs w:val="20"/>
          <w:lang w:eastAsia="es-ES"/>
        </w:rPr>
        <w:t xml:space="preserve"> </w:t>
      </w:r>
      <w:r w:rsidR="00187F2B" w:rsidRPr="00DF5443">
        <w:rPr>
          <w:rFonts w:eastAsia="Times New Roman" w:cstheme="minorHAnsi"/>
          <w:color w:val="000000"/>
          <w:szCs w:val="20"/>
          <w:lang w:eastAsia="es-ES"/>
        </w:rPr>
        <w:t xml:space="preserve">la obtención, análisis y presentación de evidencias, debido </w:t>
      </w:r>
      <w:r>
        <w:rPr>
          <w:rFonts w:eastAsia="Times New Roman" w:cstheme="minorHAnsi"/>
          <w:color w:val="000000"/>
          <w:szCs w:val="20"/>
          <w:lang w:eastAsia="es-ES"/>
        </w:rPr>
        <w:t>a la diversidad</w:t>
      </w:r>
      <w:r w:rsidR="00187F2B" w:rsidRPr="00DF5443">
        <w:rPr>
          <w:rFonts w:eastAsia="Times New Roman" w:cstheme="minorHAnsi"/>
          <w:color w:val="000000"/>
          <w:szCs w:val="20"/>
          <w:lang w:eastAsia="es-ES"/>
        </w:rPr>
        <w:t xml:space="preserve"> de las</w:t>
      </w:r>
      <w:r w:rsidR="00187F2B">
        <w:rPr>
          <w:rFonts w:eastAsia="Times New Roman" w:cstheme="minorHAnsi"/>
          <w:color w:val="000000"/>
          <w:szCs w:val="20"/>
          <w:lang w:eastAsia="es-ES"/>
        </w:rPr>
        <w:t xml:space="preserve"> </w:t>
      </w:r>
      <w:r w:rsidR="00187F2B" w:rsidRPr="00DF5443">
        <w:rPr>
          <w:rFonts w:eastAsia="Times New Roman" w:cstheme="minorHAnsi"/>
          <w:color w:val="000000"/>
          <w:szCs w:val="20"/>
          <w:lang w:eastAsia="es-ES"/>
        </w:rPr>
        <w:t xml:space="preserve">arquitecturas de la nube </w:t>
      </w:r>
      <w:r>
        <w:rPr>
          <w:rFonts w:eastAsia="Times New Roman" w:cstheme="minorHAnsi"/>
          <w:color w:val="000000"/>
          <w:szCs w:val="20"/>
          <w:lang w:eastAsia="es-ES"/>
        </w:rPr>
        <w:t>y</w:t>
      </w:r>
      <w:r w:rsidR="00473298">
        <w:rPr>
          <w:rFonts w:eastAsia="Times New Roman" w:cstheme="minorHAnsi"/>
          <w:color w:val="000000"/>
          <w:szCs w:val="20"/>
          <w:lang w:eastAsia="es-ES"/>
        </w:rPr>
        <w:t xml:space="preserve"> </w:t>
      </w:r>
      <w:r>
        <w:rPr>
          <w:rFonts w:eastAsia="Times New Roman" w:cstheme="minorHAnsi"/>
          <w:color w:val="000000"/>
          <w:szCs w:val="20"/>
          <w:lang w:eastAsia="es-ES"/>
        </w:rPr>
        <w:t xml:space="preserve">a </w:t>
      </w:r>
      <w:r w:rsidR="00187F2B" w:rsidRPr="00DF5443">
        <w:rPr>
          <w:rFonts w:eastAsia="Times New Roman" w:cstheme="minorHAnsi"/>
          <w:color w:val="000000"/>
          <w:szCs w:val="20"/>
          <w:lang w:eastAsia="es-ES"/>
        </w:rPr>
        <w:t>que cada</w:t>
      </w:r>
      <w:r w:rsidR="00187F2B">
        <w:rPr>
          <w:rFonts w:eastAsia="Times New Roman" w:cstheme="minorHAnsi"/>
          <w:color w:val="000000"/>
          <w:szCs w:val="20"/>
          <w:lang w:eastAsia="es-ES"/>
        </w:rPr>
        <w:t xml:space="preserve"> </w:t>
      </w:r>
      <w:r w:rsidR="00187F2B" w:rsidRPr="00DF5443">
        <w:rPr>
          <w:rFonts w:eastAsia="Times New Roman" w:cstheme="minorHAnsi"/>
          <w:color w:val="000000"/>
          <w:szCs w:val="20"/>
          <w:lang w:eastAsia="es-ES"/>
        </w:rPr>
        <w:t>servicio es distinto a los demás, debiéndose adaptar los</w:t>
      </w:r>
      <w:r w:rsidR="00187F2B">
        <w:rPr>
          <w:rFonts w:eastAsia="Times New Roman" w:cstheme="minorHAnsi"/>
          <w:color w:val="000000"/>
          <w:szCs w:val="20"/>
          <w:lang w:eastAsia="es-ES"/>
        </w:rPr>
        <w:t xml:space="preserve"> </w:t>
      </w:r>
      <w:r w:rsidR="00187F2B" w:rsidRPr="00DF5443">
        <w:rPr>
          <w:rFonts w:eastAsia="Times New Roman" w:cstheme="minorHAnsi"/>
          <w:color w:val="000000"/>
          <w:szCs w:val="20"/>
          <w:lang w:eastAsia="es-ES"/>
        </w:rPr>
        <w:t xml:space="preserve">programas y procesos de obtención de evidencias </w:t>
      </w:r>
      <w:r w:rsidR="00473298">
        <w:rPr>
          <w:rFonts w:eastAsia="Times New Roman" w:cstheme="minorHAnsi"/>
          <w:color w:val="000000"/>
          <w:szCs w:val="20"/>
          <w:lang w:eastAsia="es-ES"/>
        </w:rPr>
        <w:t>a</w:t>
      </w:r>
      <w:r w:rsidR="00473298" w:rsidRPr="00DF5443">
        <w:rPr>
          <w:rFonts w:eastAsia="Times New Roman" w:cstheme="minorHAnsi"/>
          <w:color w:val="000000"/>
          <w:szCs w:val="20"/>
          <w:lang w:eastAsia="es-ES"/>
        </w:rPr>
        <w:t xml:space="preserve"> </w:t>
      </w:r>
      <w:r w:rsidR="00187F2B" w:rsidRPr="00DF5443">
        <w:rPr>
          <w:rFonts w:eastAsia="Times New Roman" w:cstheme="minorHAnsi"/>
          <w:color w:val="000000"/>
          <w:szCs w:val="20"/>
          <w:lang w:eastAsia="es-ES"/>
        </w:rPr>
        <w:t>cada caso en particular</w:t>
      </w:r>
      <w:r w:rsidR="0083530C">
        <w:rPr>
          <w:rFonts w:eastAsia="Times New Roman" w:cstheme="minorHAnsi"/>
          <w:color w:val="000000"/>
          <w:szCs w:val="20"/>
          <w:lang w:eastAsia="es-ES"/>
        </w:rPr>
        <w:t>.</w:t>
      </w:r>
    </w:p>
    <w:p w14:paraId="519E1DDA" w14:textId="7C88E635" w:rsidR="00187F2B" w:rsidRDefault="00187F2B" w:rsidP="00187F2B">
      <w:pPr>
        <w:autoSpaceDE w:val="0"/>
        <w:autoSpaceDN w:val="0"/>
        <w:adjustRightInd w:val="0"/>
        <w:spacing w:before="120" w:after="120" w:line="240" w:lineRule="auto"/>
        <w:jc w:val="both"/>
        <w:rPr>
          <w:rFonts w:eastAsia="Times New Roman" w:cstheme="minorHAnsi"/>
          <w:color w:val="000000"/>
          <w:szCs w:val="20"/>
          <w:lang w:eastAsia="es-ES"/>
        </w:rPr>
      </w:pPr>
      <w:r w:rsidRPr="00DF5443">
        <w:rPr>
          <w:rFonts w:eastAsia="Times New Roman" w:cstheme="minorHAnsi"/>
          <w:color w:val="000000"/>
          <w:szCs w:val="20"/>
          <w:lang w:eastAsia="es-ES"/>
        </w:rPr>
        <w:t xml:space="preserve">Al planificar </w:t>
      </w:r>
      <w:r w:rsidR="0083530C">
        <w:rPr>
          <w:rFonts w:eastAsia="Times New Roman" w:cstheme="minorHAnsi"/>
          <w:color w:val="000000"/>
          <w:szCs w:val="20"/>
          <w:lang w:eastAsia="es-ES"/>
        </w:rPr>
        <w:t>las pruebas a realizar, el auditor</w:t>
      </w:r>
      <w:r w:rsidRPr="00DF5443">
        <w:rPr>
          <w:rFonts w:eastAsia="Times New Roman" w:cstheme="minorHAnsi"/>
          <w:color w:val="000000"/>
          <w:szCs w:val="20"/>
          <w:lang w:eastAsia="es-ES"/>
        </w:rPr>
        <w:t xml:space="preserve"> debe</w:t>
      </w:r>
      <w:r>
        <w:rPr>
          <w:rFonts w:eastAsia="Times New Roman" w:cstheme="minorHAnsi"/>
          <w:color w:val="000000"/>
          <w:szCs w:val="20"/>
          <w:lang w:eastAsia="es-ES"/>
        </w:rPr>
        <w:t xml:space="preserve"> </w:t>
      </w:r>
      <w:r w:rsidRPr="00DF5443">
        <w:rPr>
          <w:rFonts w:eastAsia="Times New Roman" w:cstheme="minorHAnsi"/>
          <w:color w:val="000000"/>
          <w:szCs w:val="20"/>
          <w:lang w:eastAsia="es-ES"/>
        </w:rPr>
        <w:t xml:space="preserve">evaluar la disponibilidad de la información </w:t>
      </w:r>
      <w:r w:rsidR="00461563">
        <w:rPr>
          <w:rFonts w:eastAsia="Times New Roman" w:cstheme="minorHAnsi"/>
          <w:color w:val="000000"/>
          <w:szCs w:val="20"/>
          <w:lang w:eastAsia="es-ES"/>
        </w:rPr>
        <w:t>para</w:t>
      </w:r>
      <w:r w:rsidRPr="00DF5443">
        <w:rPr>
          <w:rFonts w:eastAsia="Times New Roman" w:cstheme="minorHAnsi"/>
          <w:color w:val="000000"/>
          <w:szCs w:val="20"/>
          <w:lang w:eastAsia="es-ES"/>
        </w:rPr>
        <w:t xml:space="preserve"> los fines de la auditoría y los</w:t>
      </w:r>
      <w:r>
        <w:rPr>
          <w:rFonts w:eastAsia="Times New Roman" w:cstheme="minorHAnsi"/>
          <w:color w:val="000000"/>
          <w:szCs w:val="20"/>
          <w:lang w:eastAsia="es-ES"/>
        </w:rPr>
        <w:t xml:space="preserve"> </w:t>
      </w:r>
      <w:r w:rsidRPr="00DF5443">
        <w:rPr>
          <w:rFonts w:eastAsia="Times New Roman" w:cstheme="minorHAnsi"/>
          <w:color w:val="000000"/>
          <w:szCs w:val="20"/>
          <w:lang w:eastAsia="es-ES"/>
        </w:rPr>
        <w:t>riesgos específicos de su uso. La misma puede verse</w:t>
      </w:r>
      <w:r>
        <w:rPr>
          <w:rFonts w:eastAsia="Times New Roman" w:cstheme="minorHAnsi"/>
          <w:color w:val="000000"/>
          <w:szCs w:val="20"/>
          <w:lang w:eastAsia="es-ES"/>
        </w:rPr>
        <w:t xml:space="preserve"> </w:t>
      </w:r>
      <w:r w:rsidRPr="00DF5443">
        <w:rPr>
          <w:rFonts w:eastAsia="Times New Roman" w:cstheme="minorHAnsi"/>
          <w:color w:val="000000"/>
          <w:szCs w:val="20"/>
          <w:lang w:eastAsia="es-ES"/>
        </w:rPr>
        <w:t>afectada por características propias de la</w:t>
      </w:r>
      <w:r w:rsidR="00461563">
        <w:rPr>
          <w:rFonts w:eastAsia="Times New Roman" w:cstheme="minorHAnsi"/>
          <w:color w:val="000000"/>
          <w:szCs w:val="20"/>
          <w:lang w:eastAsia="es-ES"/>
        </w:rPr>
        <w:t>s</w:t>
      </w:r>
      <w:r w:rsidRPr="00DF5443">
        <w:rPr>
          <w:rFonts w:eastAsia="Times New Roman" w:cstheme="minorHAnsi"/>
          <w:color w:val="000000"/>
          <w:szCs w:val="20"/>
          <w:lang w:eastAsia="es-ES"/>
        </w:rPr>
        <w:t xml:space="preserve"> TI</w:t>
      </w:r>
      <w:r w:rsidR="00473298">
        <w:rPr>
          <w:rFonts w:eastAsia="Times New Roman" w:cstheme="minorHAnsi"/>
          <w:color w:val="000000"/>
          <w:szCs w:val="20"/>
          <w:lang w:eastAsia="es-ES"/>
        </w:rPr>
        <w:t>,</w:t>
      </w:r>
      <w:r w:rsidRPr="00DF5443">
        <w:rPr>
          <w:rFonts w:eastAsia="Times New Roman" w:cstheme="minorHAnsi"/>
          <w:color w:val="000000"/>
          <w:szCs w:val="20"/>
          <w:lang w:eastAsia="es-ES"/>
        </w:rPr>
        <w:t xml:space="preserve"> como la falta de visibilidad de</w:t>
      </w:r>
      <w:r>
        <w:rPr>
          <w:rFonts w:eastAsia="Times New Roman" w:cstheme="minorHAnsi"/>
          <w:color w:val="000000"/>
          <w:szCs w:val="20"/>
          <w:lang w:eastAsia="es-ES"/>
        </w:rPr>
        <w:t xml:space="preserve"> </w:t>
      </w:r>
      <w:r w:rsidRPr="00DF5443">
        <w:rPr>
          <w:rFonts w:eastAsia="Times New Roman" w:cstheme="minorHAnsi"/>
          <w:color w:val="000000"/>
          <w:szCs w:val="20"/>
          <w:lang w:eastAsia="es-ES"/>
        </w:rPr>
        <w:t>los registros de auditoría por la inexistencia de soporte</w:t>
      </w:r>
      <w:r>
        <w:rPr>
          <w:rFonts w:eastAsia="Times New Roman" w:cstheme="minorHAnsi"/>
          <w:color w:val="000000"/>
          <w:szCs w:val="20"/>
          <w:lang w:eastAsia="es-ES"/>
        </w:rPr>
        <w:t xml:space="preserve"> </w:t>
      </w:r>
      <w:r w:rsidRPr="00DF5443">
        <w:rPr>
          <w:rFonts w:eastAsia="Times New Roman" w:cstheme="minorHAnsi"/>
          <w:color w:val="000000"/>
          <w:szCs w:val="20"/>
          <w:lang w:eastAsia="es-ES"/>
        </w:rPr>
        <w:t xml:space="preserve">documental </w:t>
      </w:r>
      <w:r w:rsidR="0083530C">
        <w:rPr>
          <w:rFonts w:eastAsia="Times New Roman" w:cstheme="minorHAnsi"/>
          <w:color w:val="000000"/>
          <w:szCs w:val="20"/>
          <w:lang w:eastAsia="es-ES"/>
        </w:rPr>
        <w:t>material</w:t>
      </w:r>
      <w:r>
        <w:rPr>
          <w:rFonts w:eastAsia="Times New Roman" w:cstheme="minorHAnsi"/>
          <w:color w:val="000000"/>
          <w:szCs w:val="20"/>
          <w:lang w:eastAsia="es-ES"/>
        </w:rPr>
        <w:t xml:space="preserve"> de los archivos electrónicos. </w:t>
      </w:r>
      <w:r w:rsidR="0083530C">
        <w:rPr>
          <w:rFonts w:eastAsia="Times New Roman" w:cstheme="minorHAnsi"/>
          <w:color w:val="000000"/>
          <w:szCs w:val="20"/>
          <w:lang w:eastAsia="es-ES"/>
        </w:rPr>
        <w:t>La computación en la nube</w:t>
      </w:r>
      <w:r w:rsidRPr="00DF5443">
        <w:rPr>
          <w:rFonts w:eastAsia="Times New Roman" w:cstheme="minorHAnsi"/>
          <w:color w:val="000000"/>
          <w:szCs w:val="20"/>
          <w:lang w:eastAsia="es-ES"/>
        </w:rPr>
        <w:t xml:space="preserve"> introduce dificultades adicionales</w:t>
      </w:r>
      <w:r w:rsidR="0080027A">
        <w:rPr>
          <w:rFonts w:eastAsia="Times New Roman" w:cstheme="minorHAnsi"/>
          <w:color w:val="000000"/>
          <w:szCs w:val="20"/>
          <w:lang w:eastAsia="es-ES"/>
        </w:rPr>
        <w:t xml:space="preserve"> para la utilización de ADA</w:t>
      </w:r>
      <w:r w:rsidR="0083530C">
        <w:rPr>
          <w:rFonts w:eastAsia="Times New Roman" w:cstheme="minorHAnsi"/>
          <w:color w:val="000000"/>
          <w:szCs w:val="20"/>
          <w:lang w:eastAsia="es-ES"/>
        </w:rPr>
        <w:t xml:space="preserve">, ya que los </w:t>
      </w:r>
      <w:r w:rsidR="0083530C" w:rsidRPr="00B40F5F">
        <w:rPr>
          <w:rFonts w:eastAsia="Times New Roman" w:cstheme="minorHAnsi"/>
          <w:b/>
          <w:color w:val="000000"/>
          <w:szCs w:val="20"/>
          <w:lang w:eastAsia="es-ES"/>
        </w:rPr>
        <w:t>datos</w:t>
      </w:r>
      <w:r w:rsidR="0083530C">
        <w:rPr>
          <w:rFonts w:eastAsia="Times New Roman" w:cstheme="minorHAnsi"/>
          <w:color w:val="000000"/>
          <w:szCs w:val="20"/>
          <w:lang w:eastAsia="es-ES"/>
        </w:rPr>
        <w:t xml:space="preserve"> están en posesión del CSP y el </w:t>
      </w:r>
      <w:r w:rsidR="0083530C" w:rsidRPr="00B40F5F">
        <w:rPr>
          <w:rFonts w:eastAsia="Times New Roman" w:cstheme="minorHAnsi"/>
          <w:b/>
          <w:color w:val="000000"/>
          <w:szCs w:val="20"/>
          <w:lang w:eastAsia="es-ES"/>
        </w:rPr>
        <w:t>modelo de datos</w:t>
      </w:r>
      <w:r w:rsidR="0083530C">
        <w:rPr>
          <w:rFonts w:eastAsia="Times New Roman" w:cstheme="minorHAnsi"/>
          <w:color w:val="000000"/>
          <w:szCs w:val="20"/>
          <w:lang w:eastAsia="es-ES"/>
        </w:rPr>
        <w:t xml:space="preserve"> puede que sea desconocido para la entidad. No obstante ambas cuestiones solo plantean dificultades transitorias</w:t>
      </w:r>
      <w:r w:rsidR="00473298">
        <w:rPr>
          <w:rFonts w:eastAsia="Times New Roman" w:cstheme="minorHAnsi"/>
          <w:color w:val="000000"/>
          <w:szCs w:val="20"/>
          <w:lang w:eastAsia="es-ES"/>
        </w:rPr>
        <w:t>,</w:t>
      </w:r>
      <w:r w:rsidR="0083530C">
        <w:rPr>
          <w:rFonts w:eastAsia="Times New Roman" w:cstheme="minorHAnsi"/>
          <w:color w:val="000000"/>
          <w:szCs w:val="20"/>
          <w:lang w:eastAsia="es-ES"/>
        </w:rPr>
        <w:t xml:space="preserve"> ya que el CSP está obligado a facilitarlas a la entidad y estos al OCEX. Esta circunstancia debería estar prevista en los </w:t>
      </w:r>
      <w:r w:rsidR="002A1F60">
        <w:rPr>
          <w:rFonts w:eastAsia="Times New Roman" w:cstheme="minorHAnsi"/>
          <w:color w:val="000000"/>
          <w:szCs w:val="20"/>
          <w:lang w:eastAsia="es-ES"/>
        </w:rPr>
        <w:t>pliegos</w:t>
      </w:r>
      <w:r w:rsidR="0083530C">
        <w:rPr>
          <w:rFonts w:eastAsia="Times New Roman" w:cstheme="minorHAnsi"/>
          <w:color w:val="000000"/>
          <w:szCs w:val="20"/>
          <w:lang w:eastAsia="es-ES"/>
        </w:rPr>
        <w:t>.</w:t>
      </w:r>
    </w:p>
    <w:p w14:paraId="749EF28E" w14:textId="46D58435" w:rsidR="00461563" w:rsidRPr="00844BE5" w:rsidRDefault="00461563" w:rsidP="00461563">
      <w:pPr>
        <w:autoSpaceDE w:val="0"/>
        <w:autoSpaceDN w:val="0"/>
        <w:adjustRightInd w:val="0"/>
        <w:spacing w:before="120" w:after="0" w:line="240" w:lineRule="auto"/>
        <w:jc w:val="both"/>
        <w:rPr>
          <w:rFonts w:ascii="Calibri" w:hAnsi="Calibri" w:cs="Calibri"/>
        </w:rPr>
      </w:pPr>
      <w:r w:rsidRPr="00844BE5">
        <w:rPr>
          <w:rFonts w:ascii="Calibri" w:hAnsi="Calibri" w:cs="Calibri"/>
        </w:rPr>
        <w:t>Aunque con carácter general es aplicable la GPF-OCEX 1500, hay diversos factores que afectan a la cantidad y detalle de las evidencias que podrán obtenerse durant</w:t>
      </w:r>
      <w:r w:rsidR="0080027A">
        <w:rPr>
          <w:rFonts w:ascii="Calibri" w:hAnsi="Calibri" w:cs="Calibri"/>
        </w:rPr>
        <w:t>e la ejecución de una auditoría:</w:t>
      </w:r>
    </w:p>
    <w:p w14:paraId="10CC335D" w14:textId="77777777" w:rsidR="00461563" w:rsidRPr="00F06B59" w:rsidRDefault="00461563" w:rsidP="00461563">
      <w:pPr>
        <w:pStyle w:val="Prrafodelista"/>
        <w:numPr>
          <w:ilvl w:val="0"/>
          <w:numId w:val="20"/>
        </w:numPr>
        <w:autoSpaceDE w:val="0"/>
        <w:autoSpaceDN w:val="0"/>
        <w:adjustRightInd w:val="0"/>
        <w:spacing w:before="120" w:after="0" w:line="240" w:lineRule="auto"/>
        <w:ind w:left="284" w:hanging="284"/>
        <w:contextualSpacing w:val="0"/>
        <w:jc w:val="both"/>
        <w:rPr>
          <w:rFonts w:ascii="Calibri" w:eastAsia="SimHei" w:hAnsi="Calibri" w:cs="Calibri"/>
          <w:bCs/>
          <w:iCs/>
        </w:rPr>
      </w:pPr>
      <w:r w:rsidRPr="00F06B59">
        <w:rPr>
          <w:rFonts w:ascii="Calibri" w:eastAsia="SimHei" w:hAnsi="Calibri" w:cs="Calibri"/>
          <w:bCs/>
          <w:iCs/>
        </w:rPr>
        <w:t>Como ya se ha señalado, las cláusulas incluidas en el contrato afectarán al desarrollo de la auditoría. Puede acordarse con el proveedor el envío de informes del servicio, reportes de incidencias, informes de auditoría llevados a cabo por el proveedor, etc.</w:t>
      </w:r>
    </w:p>
    <w:p w14:paraId="04DB4158" w14:textId="64AC1E6F" w:rsidR="00461563" w:rsidRPr="00F06B59" w:rsidRDefault="00461563" w:rsidP="00461563">
      <w:pPr>
        <w:pStyle w:val="Prrafodelista"/>
        <w:numPr>
          <w:ilvl w:val="0"/>
          <w:numId w:val="20"/>
        </w:numPr>
        <w:autoSpaceDE w:val="0"/>
        <w:autoSpaceDN w:val="0"/>
        <w:adjustRightInd w:val="0"/>
        <w:spacing w:before="120" w:after="0" w:line="240" w:lineRule="auto"/>
        <w:ind w:left="284" w:hanging="284"/>
        <w:contextualSpacing w:val="0"/>
        <w:jc w:val="both"/>
        <w:rPr>
          <w:rFonts w:ascii="Calibri" w:eastAsia="SimHei" w:hAnsi="Calibri" w:cs="Calibri"/>
          <w:bCs/>
          <w:iCs/>
        </w:rPr>
      </w:pPr>
      <w:r w:rsidRPr="00F06B59">
        <w:rPr>
          <w:rFonts w:ascii="Calibri" w:eastAsia="SimHei" w:hAnsi="Calibri" w:cs="Calibri"/>
          <w:bCs/>
          <w:iCs/>
        </w:rPr>
        <w:t xml:space="preserve">El modelo de servicio también es un factor clave a la hora de obtener evidencias. En un modelo SaaS, las evidencias </w:t>
      </w:r>
      <w:r w:rsidR="007D6CDF">
        <w:rPr>
          <w:rFonts w:ascii="Calibri" w:eastAsia="SimHei" w:hAnsi="Calibri" w:cs="Calibri"/>
          <w:bCs/>
          <w:iCs/>
        </w:rPr>
        <w:t>accesibles al auditor externo son más limitadas</w:t>
      </w:r>
      <w:r w:rsidRPr="00F06B59">
        <w:rPr>
          <w:rFonts w:ascii="Calibri" w:eastAsia="SimHei" w:hAnsi="Calibri" w:cs="Calibri"/>
          <w:bCs/>
          <w:iCs/>
        </w:rPr>
        <w:t>, sin que llegue a obtenerse demasiada información sobre la infraestructura que soporta el servicio, pero sí sobre el acceso a ésta. Sin embargo, un modelo IaaS, permitirá la obtención de evidencias más ricas sobre dicha infraestructura y su funcionamiento.</w:t>
      </w:r>
    </w:p>
    <w:p w14:paraId="77D098CD" w14:textId="77777777" w:rsidR="00461563" w:rsidRPr="00F06B59" w:rsidRDefault="00461563" w:rsidP="00461563">
      <w:pPr>
        <w:pStyle w:val="Prrafodelista"/>
        <w:numPr>
          <w:ilvl w:val="0"/>
          <w:numId w:val="20"/>
        </w:numPr>
        <w:autoSpaceDE w:val="0"/>
        <w:autoSpaceDN w:val="0"/>
        <w:adjustRightInd w:val="0"/>
        <w:spacing w:before="120" w:after="0" w:line="240" w:lineRule="auto"/>
        <w:ind w:left="284" w:hanging="284"/>
        <w:contextualSpacing w:val="0"/>
        <w:jc w:val="both"/>
        <w:rPr>
          <w:rFonts w:ascii="Calibri" w:eastAsia="SimHei" w:hAnsi="Calibri" w:cs="Calibri"/>
          <w:bCs/>
          <w:iCs/>
        </w:rPr>
      </w:pPr>
      <w:r w:rsidRPr="00F06B59">
        <w:rPr>
          <w:rFonts w:ascii="Calibri" w:eastAsia="SimHei" w:hAnsi="Calibri" w:cs="Calibri"/>
          <w:bCs/>
          <w:iCs/>
        </w:rPr>
        <w:t>A medida que la madurez de la organización en relación con el uso de servicios cloud aumenta, así como el gobierno cloud mejora, habrá una mayor cantidad de evidencias disponibles como fruto del control que la organización ejerce sobre el servicio.</w:t>
      </w:r>
    </w:p>
    <w:p w14:paraId="1882E55D" w14:textId="0432CE9A" w:rsidR="00461563" w:rsidRPr="00844BE5" w:rsidRDefault="00461563" w:rsidP="00461563">
      <w:pPr>
        <w:autoSpaceDE w:val="0"/>
        <w:autoSpaceDN w:val="0"/>
        <w:adjustRightInd w:val="0"/>
        <w:spacing w:before="120" w:after="0" w:line="240" w:lineRule="auto"/>
        <w:jc w:val="both"/>
        <w:rPr>
          <w:rFonts w:ascii="Calibri" w:hAnsi="Calibri" w:cs="Calibri"/>
        </w:rPr>
      </w:pPr>
      <w:r w:rsidRPr="00844BE5">
        <w:rPr>
          <w:rFonts w:ascii="Calibri" w:hAnsi="Calibri" w:cs="Calibri"/>
        </w:rPr>
        <w:t xml:space="preserve">Una vez considerados estos factores, es importante evaluar la cantidad y tipología de evidencias disponibles para analizar durante la auditoría. En la medida en la que el número de evidencias aumente y éstas contengan información más relevante o detallada, se podrán realizar auditorías de tipo más técnico. </w:t>
      </w:r>
    </w:p>
    <w:p w14:paraId="70A5E20C" w14:textId="77777777" w:rsidR="00461563" w:rsidRDefault="00461563" w:rsidP="00461563">
      <w:pPr>
        <w:autoSpaceDE w:val="0"/>
        <w:autoSpaceDN w:val="0"/>
        <w:adjustRightInd w:val="0"/>
        <w:spacing w:before="120" w:after="0" w:line="240" w:lineRule="auto"/>
        <w:jc w:val="both"/>
        <w:rPr>
          <w:rFonts w:ascii="Calibri" w:hAnsi="Calibri" w:cs="Calibri"/>
        </w:rPr>
      </w:pPr>
      <w:r w:rsidRPr="00844BE5">
        <w:rPr>
          <w:rFonts w:ascii="Calibri" w:hAnsi="Calibri" w:cs="Calibri"/>
        </w:rPr>
        <w:t>Asimismo, debe evaluarse, dependiendo de cómo se haya obtenido cada evidencia, el nivel de fiabilidad de ésta. Aunque una evidencia no se haya manipulado de manera malintencionada, sigue existiendo la posibilidad de que ésta no sea relevante o que el proceso de obtención no haya sido apropiado.</w:t>
      </w:r>
    </w:p>
    <w:p w14:paraId="083DC16B" w14:textId="0D889355" w:rsidR="0080027A" w:rsidRPr="00844BE5" w:rsidRDefault="0080027A" w:rsidP="00461563">
      <w:pPr>
        <w:autoSpaceDE w:val="0"/>
        <w:autoSpaceDN w:val="0"/>
        <w:adjustRightInd w:val="0"/>
        <w:spacing w:before="120" w:after="0" w:line="240" w:lineRule="auto"/>
        <w:jc w:val="both"/>
        <w:rPr>
          <w:rFonts w:ascii="Calibri" w:hAnsi="Calibri" w:cs="Calibri"/>
        </w:rPr>
      </w:pPr>
      <w:r>
        <w:rPr>
          <w:rFonts w:ascii="Calibri" w:hAnsi="Calibri" w:cs="Calibri"/>
        </w:rPr>
        <w:t>En la medida en que existe una cierta correlación entre el uso de computación en la nube y la existencia de cantidades masivas de datos, se hace indispensable la utilización de herramientas ADA para obtener, procesar y analizar la información disponible.</w:t>
      </w:r>
      <w:r w:rsidR="00AE289D">
        <w:rPr>
          <w:rFonts w:ascii="Calibri" w:hAnsi="Calibri" w:cs="Calibri"/>
        </w:rPr>
        <w:t xml:space="preserve"> Se aplicará la GPF-OCEX 5370</w:t>
      </w:r>
      <w:r w:rsidR="002A1F60">
        <w:rPr>
          <w:rFonts w:ascii="Calibri" w:hAnsi="Calibri" w:cs="Calibri"/>
        </w:rPr>
        <w:t xml:space="preserve"> “</w:t>
      </w:r>
      <w:r w:rsidR="002A1F60" w:rsidRPr="002A1F60">
        <w:rPr>
          <w:rFonts w:ascii="Calibri" w:hAnsi="Calibri" w:cs="Calibri"/>
        </w:rPr>
        <w:t>Guía para la realización de pruebas de datos</w:t>
      </w:r>
      <w:r w:rsidR="002A1F60">
        <w:rPr>
          <w:rFonts w:ascii="Calibri" w:hAnsi="Calibri" w:cs="Calibri"/>
        </w:rPr>
        <w:t>”</w:t>
      </w:r>
      <w:r w:rsidR="00AE289D">
        <w:rPr>
          <w:rFonts w:ascii="Calibri" w:hAnsi="Calibri" w:cs="Calibri"/>
        </w:rPr>
        <w:t>.</w:t>
      </w:r>
    </w:p>
    <w:p w14:paraId="7E85FA99" w14:textId="69762206" w:rsidR="00187F2B" w:rsidRDefault="005C7BA5" w:rsidP="00CF4D6D">
      <w:pPr>
        <w:spacing w:before="120" w:after="0" w:line="240" w:lineRule="auto"/>
        <w:ind w:left="567" w:hanging="567"/>
        <w:jc w:val="both"/>
        <w:rPr>
          <w:rFonts w:ascii="Calibri" w:hAnsi="Calibri" w:cs="Calibri"/>
          <w:b/>
        </w:rPr>
      </w:pPr>
      <w:r>
        <w:rPr>
          <w:rFonts w:ascii="Calibri" w:hAnsi="Calibri" w:cs="Calibri"/>
          <w:b/>
        </w:rPr>
        <w:t>7.5</w:t>
      </w:r>
      <w:r w:rsidR="00CF4D6D" w:rsidRPr="002113F0">
        <w:rPr>
          <w:rFonts w:ascii="Calibri" w:hAnsi="Calibri" w:cs="Calibri"/>
          <w:b/>
        </w:rPr>
        <w:tab/>
      </w:r>
      <w:r w:rsidR="00187F2B" w:rsidRPr="002113F0">
        <w:rPr>
          <w:rFonts w:ascii="Calibri" w:hAnsi="Calibri" w:cs="Calibri"/>
          <w:b/>
        </w:rPr>
        <w:t>Uso de especialistas</w:t>
      </w:r>
    </w:p>
    <w:p w14:paraId="2CA76E13" w14:textId="1B253472" w:rsidR="00237DAF" w:rsidRPr="00844BE5" w:rsidRDefault="0083530C" w:rsidP="00237DAF">
      <w:pPr>
        <w:autoSpaceDE w:val="0"/>
        <w:autoSpaceDN w:val="0"/>
        <w:adjustRightInd w:val="0"/>
        <w:spacing w:before="120" w:after="0" w:line="240" w:lineRule="auto"/>
        <w:jc w:val="both"/>
        <w:rPr>
          <w:rFonts w:ascii="Calibri" w:hAnsi="Calibri" w:cs="Calibri"/>
        </w:rPr>
      </w:pPr>
      <w:r>
        <w:rPr>
          <w:rFonts w:ascii="Calibri" w:hAnsi="Calibri" w:cs="Calibri"/>
          <w:lang w:val="es"/>
        </w:rPr>
        <w:t xml:space="preserve">En general, </w:t>
      </w:r>
      <w:r w:rsidR="0080027A">
        <w:rPr>
          <w:rFonts w:ascii="Calibri" w:hAnsi="Calibri" w:cs="Calibri"/>
          <w:lang w:val="es"/>
        </w:rPr>
        <w:t>dado el complejo entorno TIC, muchos de los</w:t>
      </w:r>
      <w:r w:rsidR="00237DAF" w:rsidRPr="00844BE5">
        <w:rPr>
          <w:rFonts w:ascii="Calibri" w:hAnsi="Calibri" w:cs="Calibri"/>
          <w:lang w:val="es"/>
        </w:rPr>
        <w:t xml:space="preserve"> procedimientos</w:t>
      </w:r>
      <w:r w:rsidR="0080027A">
        <w:rPr>
          <w:rFonts w:ascii="Calibri" w:hAnsi="Calibri" w:cs="Calibri"/>
          <w:lang w:val="es"/>
        </w:rPr>
        <w:t xml:space="preserve"> para revisar los controles y realizar las pruebas de datos (ADA)</w:t>
      </w:r>
      <w:r w:rsidR="00237DAF" w:rsidRPr="00844BE5">
        <w:rPr>
          <w:rFonts w:ascii="Calibri" w:hAnsi="Calibri" w:cs="Calibri"/>
          <w:lang w:val="es"/>
        </w:rPr>
        <w:t xml:space="preserve"> deberán ser llevados a cabo por personal especializado, idóneamente por auditores de sistemas de información o por informáticos que presten apoyo a los auditores. De no disponer de </w:t>
      </w:r>
      <w:r w:rsidR="00237DAF" w:rsidRPr="00844BE5">
        <w:rPr>
          <w:rFonts w:ascii="Calibri" w:hAnsi="Calibri" w:cs="Calibri"/>
        </w:rPr>
        <w:t xml:space="preserve">personal especializado en </w:t>
      </w:r>
      <w:r w:rsidR="0080027A">
        <w:rPr>
          <w:rFonts w:ascii="Calibri" w:hAnsi="Calibri" w:cs="Calibri"/>
        </w:rPr>
        <w:t>el</w:t>
      </w:r>
      <w:r w:rsidR="00237DAF" w:rsidRPr="00844BE5">
        <w:rPr>
          <w:rFonts w:ascii="Calibri" w:hAnsi="Calibri" w:cs="Calibri"/>
        </w:rPr>
        <w:t xml:space="preserve"> OCEX, se deberá co</w:t>
      </w:r>
      <w:r w:rsidR="0080027A">
        <w:rPr>
          <w:rFonts w:ascii="Calibri" w:hAnsi="Calibri" w:cs="Calibri"/>
        </w:rPr>
        <w:t>ntratar a</w:t>
      </w:r>
      <w:r w:rsidR="00237DAF" w:rsidRPr="00844BE5">
        <w:rPr>
          <w:rFonts w:ascii="Calibri" w:hAnsi="Calibri" w:cs="Calibri"/>
        </w:rPr>
        <w:t xml:space="preserve"> especialistas externos.</w:t>
      </w:r>
    </w:p>
    <w:p w14:paraId="4820DC49" w14:textId="77777777" w:rsidR="00F81808" w:rsidRDefault="00F81808">
      <w:pPr>
        <w:rPr>
          <w:rFonts w:ascii="Calibri" w:hAnsi="Calibri" w:cs="Calibri"/>
          <w:b/>
        </w:rPr>
      </w:pPr>
      <w:r>
        <w:rPr>
          <w:rFonts w:ascii="Calibri" w:hAnsi="Calibri" w:cs="Calibri"/>
          <w:b/>
        </w:rPr>
        <w:br w:type="page"/>
      </w:r>
    </w:p>
    <w:p w14:paraId="65CD80F2" w14:textId="1CDF9341" w:rsidR="00187F2B" w:rsidRDefault="005C7BA5" w:rsidP="006C194E">
      <w:pPr>
        <w:spacing w:before="120" w:after="0" w:line="240" w:lineRule="auto"/>
        <w:ind w:left="567" w:hanging="567"/>
        <w:jc w:val="both"/>
        <w:rPr>
          <w:rFonts w:ascii="Calibri" w:hAnsi="Calibri" w:cs="Calibri"/>
          <w:b/>
        </w:rPr>
      </w:pPr>
      <w:r>
        <w:rPr>
          <w:rFonts w:ascii="Calibri" w:hAnsi="Calibri" w:cs="Calibri"/>
          <w:b/>
        </w:rPr>
        <w:lastRenderedPageBreak/>
        <w:t>7.6</w:t>
      </w:r>
      <w:r w:rsidR="006C194E" w:rsidRPr="002113F0">
        <w:rPr>
          <w:rFonts w:ascii="Calibri" w:hAnsi="Calibri" w:cs="Calibri"/>
          <w:b/>
        </w:rPr>
        <w:tab/>
      </w:r>
      <w:r w:rsidR="00187F2B" w:rsidRPr="002113F0">
        <w:rPr>
          <w:rFonts w:ascii="Calibri" w:hAnsi="Calibri" w:cs="Calibri"/>
          <w:b/>
        </w:rPr>
        <w:t>Análisis de los hallazgos, evaluación de las deficiencias observadas e informe</w:t>
      </w:r>
    </w:p>
    <w:p w14:paraId="4F98B189" w14:textId="77777777" w:rsidR="0083530C" w:rsidRDefault="0083530C" w:rsidP="005C7BA5">
      <w:pPr>
        <w:spacing w:before="120" w:after="120" w:line="240" w:lineRule="auto"/>
        <w:jc w:val="both"/>
        <w:rPr>
          <w:rFonts w:ascii="Calibri" w:hAnsi="Calibri" w:cs="Calibri"/>
        </w:rPr>
      </w:pPr>
      <w:r w:rsidRPr="00844BE5">
        <w:rPr>
          <w:rFonts w:ascii="Calibri" w:hAnsi="Calibri" w:cs="Calibri"/>
        </w:rPr>
        <w:t>Cada control se evaluará en base a las evidencias obtenidas sobre su eficacia, pudiendo encontrarse cada uno de ellos en alguna de las siguientes situaciones, definidas en la GPF-OCEX 5330</w:t>
      </w:r>
      <w:r w:rsidRPr="00844BE5">
        <w:rPr>
          <w:rStyle w:val="Refdenotaalpie"/>
          <w:rFonts w:ascii="Calibri" w:hAnsi="Calibri" w:cs="Calibri"/>
        </w:rPr>
        <w:footnoteReference w:id="13"/>
      </w:r>
      <w:r w:rsidRPr="00844BE5">
        <w:rPr>
          <w:rFonts w:ascii="Calibri" w:hAnsi="Calibri" w:cs="Calibri"/>
        </w:rPr>
        <w:t>:</w:t>
      </w:r>
    </w:p>
    <w:tbl>
      <w:tblPr>
        <w:tblStyle w:val="Tablaconcuadrcula"/>
        <w:tblW w:w="0" w:type="auto"/>
        <w:jc w:val="center"/>
        <w:tblLook w:val="04A0" w:firstRow="1" w:lastRow="0" w:firstColumn="1" w:lastColumn="0" w:noHBand="0" w:noVBand="1"/>
      </w:tblPr>
      <w:tblGrid>
        <w:gridCol w:w="364"/>
        <w:gridCol w:w="4598"/>
      </w:tblGrid>
      <w:tr w:rsidR="0083530C" w:rsidRPr="00E4089F" w14:paraId="56FF7E28" w14:textId="77777777" w:rsidTr="00EF24D1">
        <w:trPr>
          <w:jc w:val="center"/>
        </w:trPr>
        <w:tc>
          <w:tcPr>
            <w:tcW w:w="364" w:type="dxa"/>
            <w:tcBorders>
              <w:top w:val="nil"/>
              <w:left w:val="nil"/>
              <w:bottom w:val="nil"/>
              <w:right w:val="nil"/>
            </w:tcBorders>
            <w:shd w:val="clear" w:color="auto" w:fill="66FF66"/>
            <w:vAlign w:val="center"/>
          </w:tcPr>
          <w:p w14:paraId="32DE6C7C" w14:textId="77777777" w:rsidR="0083530C" w:rsidRPr="00E4089F" w:rsidRDefault="0083530C" w:rsidP="00EF24D1">
            <w:pPr>
              <w:spacing w:before="120" w:after="120"/>
              <w:jc w:val="both"/>
              <w:rPr>
                <w:rFonts w:cstheme="minorHAnsi"/>
                <w:sz w:val="20"/>
                <w:szCs w:val="20"/>
              </w:rPr>
            </w:pPr>
          </w:p>
        </w:tc>
        <w:tc>
          <w:tcPr>
            <w:tcW w:w="4598" w:type="dxa"/>
            <w:tcBorders>
              <w:top w:val="nil"/>
              <w:left w:val="nil"/>
              <w:bottom w:val="nil"/>
              <w:right w:val="nil"/>
            </w:tcBorders>
            <w:vAlign w:val="center"/>
          </w:tcPr>
          <w:p w14:paraId="19F494DC" w14:textId="77777777" w:rsidR="0083530C" w:rsidRPr="00E4089F" w:rsidRDefault="0083530C" w:rsidP="00EF24D1">
            <w:pPr>
              <w:spacing w:before="120" w:after="120"/>
              <w:jc w:val="both"/>
              <w:rPr>
                <w:rFonts w:cstheme="minorHAnsi"/>
                <w:sz w:val="20"/>
                <w:szCs w:val="20"/>
              </w:rPr>
            </w:pPr>
            <w:r w:rsidRPr="00E4089F">
              <w:rPr>
                <w:rFonts w:cstheme="minorHAnsi"/>
                <w:sz w:val="20"/>
                <w:szCs w:val="20"/>
              </w:rPr>
              <w:t>Control efectivo</w:t>
            </w:r>
          </w:p>
        </w:tc>
      </w:tr>
      <w:tr w:rsidR="0083530C" w:rsidRPr="00E4089F" w14:paraId="3AFDD08A" w14:textId="77777777" w:rsidTr="00EF24D1">
        <w:trPr>
          <w:jc w:val="center"/>
        </w:trPr>
        <w:tc>
          <w:tcPr>
            <w:tcW w:w="364" w:type="dxa"/>
            <w:tcBorders>
              <w:top w:val="nil"/>
              <w:left w:val="nil"/>
              <w:bottom w:val="nil"/>
              <w:right w:val="nil"/>
            </w:tcBorders>
            <w:shd w:val="clear" w:color="auto" w:fill="FFFF00"/>
            <w:vAlign w:val="center"/>
          </w:tcPr>
          <w:p w14:paraId="2297B440" w14:textId="77777777" w:rsidR="0083530C" w:rsidRPr="00E4089F" w:rsidRDefault="0083530C" w:rsidP="00EF24D1">
            <w:pPr>
              <w:spacing w:before="120" w:after="120"/>
              <w:jc w:val="both"/>
              <w:rPr>
                <w:rFonts w:cstheme="minorHAnsi"/>
                <w:sz w:val="20"/>
                <w:szCs w:val="20"/>
              </w:rPr>
            </w:pPr>
          </w:p>
        </w:tc>
        <w:tc>
          <w:tcPr>
            <w:tcW w:w="4598" w:type="dxa"/>
            <w:tcBorders>
              <w:top w:val="nil"/>
              <w:left w:val="nil"/>
              <w:bottom w:val="nil"/>
              <w:right w:val="nil"/>
            </w:tcBorders>
            <w:vAlign w:val="center"/>
          </w:tcPr>
          <w:p w14:paraId="30EACE6C" w14:textId="77777777" w:rsidR="0083530C" w:rsidRPr="00E4089F" w:rsidRDefault="0083530C" w:rsidP="00EF24D1">
            <w:pPr>
              <w:spacing w:before="120" w:after="120"/>
              <w:jc w:val="both"/>
              <w:rPr>
                <w:rFonts w:cstheme="minorHAnsi"/>
                <w:sz w:val="20"/>
                <w:szCs w:val="20"/>
              </w:rPr>
            </w:pPr>
            <w:r w:rsidRPr="00E4089F">
              <w:rPr>
                <w:rFonts w:cstheme="minorHAnsi"/>
                <w:sz w:val="20"/>
                <w:szCs w:val="20"/>
              </w:rPr>
              <w:t>Control bastante efectivo</w:t>
            </w:r>
          </w:p>
        </w:tc>
      </w:tr>
      <w:tr w:rsidR="0083530C" w:rsidRPr="00E4089F" w14:paraId="143DA7A3" w14:textId="77777777" w:rsidTr="00EF24D1">
        <w:trPr>
          <w:jc w:val="center"/>
        </w:trPr>
        <w:tc>
          <w:tcPr>
            <w:tcW w:w="364" w:type="dxa"/>
            <w:tcBorders>
              <w:top w:val="nil"/>
              <w:left w:val="nil"/>
              <w:bottom w:val="nil"/>
              <w:right w:val="nil"/>
            </w:tcBorders>
            <w:shd w:val="clear" w:color="auto" w:fill="F4B083" w:themeFill="accent2" w:themeFillTint="99"/>
            <w:vAlign w:val="center"/>
          </w:tcPr>
          <w:p w14:paraId="363606AA" w14:textId="77777777" w:rsidR="0083530C" w:rsidRPr="00E4089F" w:rsidRDefault="0083530C" w:rsidP="00EF24D1">
            <w:pPr>
              <w:spacing w:before="120" w:after="120"/>
              <w:jc w:val="both"/>
              <w:rPr>
                <w:rFonts w:cstheme="minorHAnsi"/>
                <w:sz w:val="20"/>
                <w:szCs w:val="20"/>
              </w:rPr>
            </w:pPr>
          </w:p>
        </w:tc>
        <w:tc>
          <w:tcPr>
            <w:tcW w:w="4598" w:type="dxa"/>
            <w:tcBorders>
              <w:top w:val="nil"/>
              <w:left w:val="nil"/>
              <w:bottom w:val="nil"/>
              <w:right w:val="nil"/>
            </w:tcBorders>
            <w:vAlign w:val="center"/>
          </w:tcPr>
          <w:p w14:paraId="51AA7B01" w14:textId="77777777" w:rsidR="0083530C" w:rsidRPr="00E4089F" w:rsidRDefault="0083530C" w:rsidP="00EF24D1">
            <w:pPr>
              <w:spacing w:before="120" w:after="120"/>
              <w:jc w:val="both"/>
              <w:rPr>
                <w:rFonts w:cstheme="minorHAnsi"/>
                <w:sz w:val="20"/>
                <w:szCs w:val="20"/>
              </w:rPr>
            </w:pPr>
            <w:r w:rsidRPr="00E4089F">
              <w:rPr>
                <w:rFonts w:cstheme="minorHAnsi"/>
                <w:sz w:val="20"/>
                <w:szCs w:val="20"/>
              </w:rPr>
              <w:t>Control poco efectivo</w:t>
            </w:r>
          </w:p>
        </w:tc>
      </w:tr>
      <w:tr w:rsidR="0083530C" w:rsidRPr="00E4089F" w14:paraId="7702A322" w14:textId="77777777" w:rsidTr="00EF24D1">
        <w:trPr>
          <w:jc w:val="center"/>
        </w:trPr>
        <w:tc>
          <w:tcPr>
            <w:tcW w:w="364" w:type="dxa"/>
            <w:tcBorders>
              <w:top w:val="nil"/>
              <w:left w:val="nil"/>
              <w:bottom w:val="nil"/>
              <w:right w:val="nil"/>
            </w:tcBorders>
            <w:shd w:val="clear" w:color="auto" w:fill="FF0000"/>
            <w:vAlign w:val="center"/>
          </w:tcPr>
          <w:p w14:paraId="1C54DCA0" w14:textId="77777777" w:rsidR="0083530C" w:rsidRPr="00E4089F" w:rsidRDefault="0083530C" w:rsidP="00EF24D1">
            <w:pPr>
              <w:spacing w:before="120" w:after="120"/>
              <w:jc w:val="both"/>
              <w:rPr>
                <w:rFonts w:cstheme="minorHAnsi"/>
                <w:sz w:val="20"/>
                <w:szCs w:val="20"/>
              </w:rPr>
            </w:pPr>
          </w:p>
        </w:tc>
        <w:tc>
          <w:tcPr>
            <w:tcW w:w="4598" w:type="dxa"/>
            <w:tcBorders>
              <w:top w:val="nil"/>
              <w:left w:val="nil"/>
              <w:bottom w:val="nil"/>
              <w:right w:val="nil"/>
            </w:tcBorders>
            <w:vAlign w:val="center"/>
          </w:tcPr>
          <w:p w14:paraId="7EA0B9BE" w14:textId="77777777" w:rsidR="0083530C" w:rsidRPr="00E4089F" w:rsidRDefault="0083530C" w:rsidP="00EF24D1">
            <w:pPr>
              <w:spacing w:before="120" w:after="120"/>
              <w:jc w:val="both"/>
              <w:rPr>
                <w:rFonts w:cstheme="minorHAnsi"/>
                <w:sz w:val="20"/>
                <w:szCs w:val="20"/>
              </w:rPr>
            </w:pPr>
            <w:r w:rsidRPr="00E4089F">
              <w:rPr>
                <w:rFonts w:cstheme="minorHAnsi"/>
                <w:sz w:val="20"/>
                <w:szCs w:val="20"/>
              </w:rPr>
              <w:t>Control no efectivo o no implantado</w:t>
            </w:r>
          </w:p>
        </w:tc>
      </w:tr>
    </w:tbl>
    <w:p w14:paraId="3B394BF5" w14:textId="77777777" w:rsidR="0083530C" w:rsidRDefault="0083530C" w:rsidP="0083530C">
      <w:pPr>
        <w:autoSpaceDE w:val="0"/>
        <w:autoSpaceDN w:val="0"/>
        <w:adjustRightInd w:val="0"/>
        <w:spacing w:before="120" w:after="120" w:line="240" w:lineRule="auto"/>
        <w:jc w:val="both"/>
        <w:rPr>
          <w:rFonts w:cstheme="minorHAnsi"/>
          <w:lang w:val="es"/>
        </w:rPr>
      </w:pPr>
      <w:r w:rsidRPr="00844BE5">
        <w:rPr>
          <w:rFonts w:cstheme="minorHAnsi"/>
          <w:lang w:val="es"/>
        </w:rPr>
        <w:t xml:space="preserve">Se seguirán los criterios de evaluación establecidos en el apartado </w:t>
      </w:r>
      <w:r w:rsidRPr="00844BE5">
        <w:rPr>
          <w:rFonts w:cstheme="minorHAnsi"/>
          <w:i/>
          <w:lang w:val="es"/>
        </w:rPr>
        <w:t>8. Evaluación de las deficiencias de control interno detectadas</w:t>
      </w:r>
      <w:r w:rsidRPr="00844BE5">
        <w:rPr>
          <w:rFonts w:cstheme="minorHAnsi"/>
          <w:lang w:val="es"/>
        </w:rPr>
        <w:t xml:space="preserve"> de la GPF-OCEX 5330.</w:t>
      </w:r>
    </w:p>
    <w:p w14:paraId="2023D28B" w14:textId="648F7F1F" w:rsidR="0083530C" w:rsidRPr="00844BE5" w:rsidRDefault="0083530C" w:rsidP="0083530C">
      <w:pPr>
        <w:autoSpaceDE w:val="0"/>
        <w:autoSpaceDN w:val="0"/>
        <w:adjustRightInd w:val="0"/>
        <w:spacing w:before="120" w:after="120" w:line="240" w:lineRule="auto"/>
        <w:jc w:val="both"/>
        <w:rPr>
          <w:rFonts w:cstheme="minorHAnsi"/>
          <w:lang w:val="es"/>
        </w:rPr>
      </w:pPr>
      <w:r>
        <w:rPr>
          <w:rFonts w:cstheme="minorHAnsi"/>
          <w:lang w:val="es"/>
        </w:rPr>
        <w:t xml:space="preserve">Dependiendo del tipo de auditoría </w:t>
      </w:r>
      <w:r w:rsidR="00507D2C">
        <w:rPr>
          <w:rFonts w:cstheme="minorHAnsi"/>
          <w:lang w:val="es"/>
        </w:rPr>
        <w:t>(</w:t>
      </w:r>
      <w:r>
        <w:rPr>
          <w:rFonts w:cstheme="minorHAnsi"/>
          <w:lang w:val="es"/>
        </w:rPr>
        <w:t>revisión de los controles como parte de una auditoría financiera o auditoría de los controles sobre el servicio cloud</w:t>
      </w:r>
      <w:r w:rsidR="00507D2C">
        <w:rPr>
          <w:rFonts w:cstheme="minorHAnsi"/>
          <w:lang w:val="es"/>
        </w:rPr>
        <w:t>)</w:t>
      </w:r>
      <w:r>
        <w:rPr>
          <w:rFonts w:cstheme="minorHAnsi"/>
          <w:lang w:val="es"/>
        </w:rPr>
        <w:t>, el resultado del trabajo tendrá un reflejo distinto en el informe de auditoría. En el primer caso podrán existir recomendaciones, o cuestiones clave de auditoría según los casos. En el segundo podrá emitirse un informe detallado con conclusiones sobre la eficacia del control interno relacionado.</w:t>
      </w:r>
    </w:p>
    <w:p w14:paraId="1E63519E" w14:textId="6E5C94E4" w:rsidR="00600C0E" w:rsidRPr="00844BE5" w:rsidRDefault="00600C0E" w:rsidP="0090496D">
      <w:pPr>
        <w:pStyle w:val="Prrafodelista"/>
        <w:numPr>
          <w:ilvl w:val="0"/>
          <w:numId w:val="4"/>
        </w:numPr>
        <w:spacing w:before="240" w:after="120" w:line="240" w:lineRule="auto"/>
        <w:ind w:left="567" w:hanging="567"/>
        <w:contextualSpacing w:val="0"/>
        <w:jc w:val="both"/>
        <w:rPr>
          <w:rFonts w:cstheme="minorHAnsi"/>
          <w:b/>
        </w:rPr>
      </w:pPr>
      <w:r w:rsidRPr="00844BE5">
        <w:rPr>
          <w:rFonts w:cstheme="minorHAnsi"/>
          <w:b/>
        </w:rPr>
        <w:t>Bibliografía</w:t>
      </w:r>
    </w:p>
    <w:p w14:paraId="64110E6F" w14:textId="4A635324" w:rsidR="0096152F" w:rsidRPr="00844BE5" w:rsidRDefault="00127F53" w:rsidP="005C7BA5">
      <w:pPr>
        <w:pStyle w:val="Prrafodelista"/>
        <w:autoSpaceDE w:val="0"/>
        <w:autoSpaceDN w:val="0"/>
        <w:adjustRightInd w:val="0"/>
        <w:spacing w:before="120" w:after="120" w:line="240" w:lineRule="auto"/>
        <w:ind w:left="0"/>
        <w:contextualSpacing w:val="0"/>
        <w:jc w:val="both"/>
        <w:rPr>
          <w:rFonts w:cstheme="minorHAnsi"/>
        </w:rPr>
      </w:pPr>
      <w:hyperlink r:id="rId15" w:history="1">
        <w:r w:rsidR="0096152F" w:rsidRPr="00844BE5">
          <w:rPr>
            <w:rStyle w:val="Hipervnculo"/>
            <w:rFonts w:cstheme="minorHAnsi"/>
          </w:rPr>
          <w:t>ASOCEX</w:t>
        </w:r>
      </w:hyperlink>
      <w:r w:rsidR="00F4237B">
        <w:rPr>
          <w:rStyle w:val="Hipervnculo"/>
          <w:rFonts w:cstheme="minorHAnsi"/>
        </w:rPr>
        <w:t>:</w:t>
      </w:r>
    </w:p>
    <w:p w14:paraId="7D639BC0" w14:textId="6D45EC2D" w:rsidR="0096152F" w:rsidRPr="00844BE5" w:rsidRDefault="00127F53" w:rsidP="000004B8">
      <w:pPr>
        <w:pStyle w:val="Prrafodelista"/>
        <w:numPr>
          <w:ilvl w:val="0"/>
          <w:numId w:val="2"/>
        </w:numPr>
        <w:autoSpaceDE w:val="0"/>
        <w:autoSpaceDN w:val="0"/>
        <w:adjustRightInd w:val="0"/>
        <w:spacing w:before="120" w:after="120" w:line="240" w:lineRule="auto"/>
        <w:ind w:left="567" w:hanging="284"/>
        <w:contextualSpacing w:val="0"/>
        <w:rPr>
          <w:rFonts w:cstheme="minorHAnsi"/>
        </w:rPr>
      </w:pPr>
      <w:hyperlink r:id="rId16" w:history="1">
        <w:r w:rsidR="0096152F" w:rsidRPr="00844BE5">
          <w:rPr>
            <w:rStyle w:val="Hipervnculo"/>
            <w:rFonts w:cstheme="minorHAnsi"/>
          </w:rPr>
          <w:t>GPF-OCEX 5311</w:t>
        </w:r>
        <w:r w:rsidR="00F4237B">
          <w:rPr>
            <w:rStyle w:val="Hipervnculo"/>
            <w:rFonts w:cstheme="minorHAnsi"/>
          </w:rPr>
          <w:t xml:space="preserve"> </w:t>
        </w:r>
        <w:r w:rsidR="0096152F" w:rsidRPr="00844BE5">
          <w:rPr>
            <w:rStyle w:val="Hipervnculo"/>
            <w:rFonts w:cstheme="minorHAnsi"/>
          </w:rPr>
          <w:t>Ciberseguridad, seguridad de la información y auditoría externa</w:t>
        </w:r>
      </w:hyperlink>
      <w:r w:rsidR="0096152F" w:rsidRPr="00844BE5">
        <w:rPr>
          <w:rFonts w:cstheme="minorHAnsi"/>
        </w:rPr>
        <w:t>, 27/11/2017</w:t>
      </w:r>
    </w:p>
    <w:p w14:paraId="06857BEB" w14:textId="5CDB3975" w:rsidR="00C778C6" w:rsidRPr="00844BE5" w:rsidRDefault="00127F53" w:rsidP="000004B8">
      <w:pPr>
        <w:pStyle w:val="Prrafodelista"/>
        <w:numPr>
          <w:ilvl w:val="0"/>
          <w:numId w:val="2"/>
        </w:numPr>
        <w:autoSpaceDE w:val="0"/>
        <w:autoSpaceDN w:val="0"/>
        <w:adjustRightInd w:val="0"/>
        <w:spacing w:before="120" w:after="120" w:line="240" w:lineRule="auto"/>
        <w:ind w:left="567" w:hanging="284"/>
        <w:contextualSpacing w:val="0"/>
        <w:rPr>
          <w:rStyle w:val="Hipervnculo"/>
          <w:rFonts w:cstheme="minorHAnsi"/>
          <w:color w:val="auto"/>
          <w:u w:val="none"/>
        </w:rPr>
      </w:pPr>
      <w:hyperlink r:id="rId17" w:history="1">
        <w:r w:rsidR="00C778C6" w:rsidRPr="00844BE5">
          <w:rPr>
            <w:rStyle w:val="Hipervnculo"/>
            <w:rFonts w:cstheme="minorHAnsi"/>
          </w:rPr>
          <w:t>GPF-OCEX 5313</w:t>
        </w:r>
        <w:r w:rsidR="00F4237B">
          <w:rPr>
            <w:rStyle w:val="Hipervnculo"/>
            <w:rFonts w:cstheme="minorHAnsi"/>
          </w:rPr>
          <w:t xml:space="preserve"> </w:t>
        </w:r>
        <w:r w:rsidR="00C778C6" w:rsidRPr="00844BE5">
          <w:rPr>
            <w:rStyle w:val="Hipervnculo"/>
            <w:rFonts w:cstheme="minorHAnsi"/>
          </w:rPr>
          <w:t>Revisión de los controles básicos de ciberseguridad</w:t>
        </w:r>
      </w:hyperlink>
      <w:r w:rsidR="00C778C6" w:rsidRPr="00844BE5">
        <w:rPr>
          <w:rStyle w:val="Hipervnculo"/>
          <w:rFonts w:cstheme="minorHAnsi"/>
          <w:color w:val="auto"/>
          <w:u w:val="none"/>
        </w:rPr>
        <w:t>, 12/11/2018</w:t>
      </w:r>
    </w:p>
    <w:p w14:paraId="76F5BCFB" w14:textId="4048F81D" w:rsidR="00C778C6" w:rsidRPr="00844BE5" w:rsidRDefault="00127F53" w:rsidP="000004B8">
      <w:pPr>
        <w:pStyle w:val="Prrafodelista"/>
        <w:numPr>
          <w:ilvl w:val="0"/>
          <w:numId w:val="2"/>
        </w:numPr>
        <w:autoSpaceDE w:val="0"/>
        <w:autoSpaceDN w:val="0"/>
        <w:adjustRightInd w:val="0"/>
        <w:spacing w:before="120" w:after="120" w:line="240" w:lineRule="auto"/>
        <w:ind w:left="567" w:hanging="284"/>
        <w:contextualSpacing w:val="0"/>
        <w:rPr>
          <w:rStyle w:val="Hipervnculo"/>
          <w:rFonts w:cstheme="minorHAnsi"/>
          <w:color w:val="auto"/>
          <w:u w:val="none"/>
        </w:rPr>
      </w:pPr>
      <w:hyperlink r:id="rId18" w:history="1">
        <w:r w:rsidR="00C778C6" w:rsidRPr="00844BE5">
          <w:rPr>
            <w:rStyle w:val="Hipervnculo"/>
            <w:rFonts w:cstheme="minorHAnsi"/>
          </w:rPr>
          <w:t>GPF-OCEX 5330</w:t>
        </w:r>
        <w:r w:rsidR="00F4237B">
          <w:rPr>
            <w:rStyle w:val="Hipervnculo"/>
            <w:rFonts w:cstheme="minorHAnsi"/>
          </w:rPr>
          <w:t xml:space="preserve"> </w:t>
        </w:r>
        <w:r w:rsidR="00C778C6" w:rsidRPr="00844BE5">
          <w:rPr>
            <w:rStyle w:val="Hipervnculo"/>
            <w:rFonts w:cstheme="minorHAnsi"/>
          </w:rPr>
          <w:t>Revisión de los controles generales de tecnologías de información en un entorno de administración electrónica</w:t>
        </w:r>
      </w:hyperlink>
      <w:r w:rsidR="00C778C6" w:rsidRPr="00844BE5">
        <w:rPr>
          <w:rStyle w:val="Hipervnculo"/>
          <w:rFonts w:cstheme="minorHAnsi"/>
          <w:color w:val="auto"/>
          <w:u w:val="none"/>
        </w:rPr>
        <w:t>, 12/11/2018</w:t>
      </w:r>
    </w:p>
    <w:p w14:paraId="56BCB640" w14:textId="77777777" w:rsidR="000004B8" w:rsidRDefault="00127F53" w:rsidP="005C7BA5">
      <w:pPr>
        <w:pStyle w:val="Prrafodelista"/>
        <w:autoSpaceDE w:val="0"/>
        <w:autoSpaceDN w:val="0"/>
        <w:adjustRightInd w:val="0"/>
        <w:spacing w:before="120" w:after="120" w:line="240" w:lineRule="auto"/>
        <w:ind w:left="0"/>
        <w:contextualSpacing w:val="0"/>
        <w:rPr>
          <w:rFonts w:cstheme="minorHAnsi"/>
        </w:rPr>
      </w:pPr>
      <w:hyperlink r:id="rId19" w:history="1">
        <w:r w:rsidR="00A233C5" w:rsidRPr="00F4237B">
          <w:rPr>
            <w:rStyle w:val="Hipervnculo"/>
            <w:rFonts w:cstheme="minorHAnsi"/>
          </w:rPr>
          <w:t>Centro Criptológico Nacional</w:t>
        </w:r>
      </w:hyperlink>
      <w:r w:rsidR="00A233C5" w:rsidRPr="00F4237B">
        <w:rPr>
          <w:rFonts w:cstheme="minorHAnsi"/>
        </w:rPr>
        <w:t>:</w:t>
      </w:r>
      <w:r w:rsidR="00F4237B" w:rsidRPr="00F4237B">
        <w:rPr>
          <w:rFonts w:cstheme="minorHAnsi"/>
        </w:rPr>
        <w:t xml:space="preserve"> </w:t>
      </w:r>
    </w:p>
    <w:p w14:paraId="2E1FE55E" w14:textId="214D4D8D" w:rsidR="00A233C5" w:rsidRDefault="00A233C5" w:rsidP="000004B8">
      <w:pPr>
        <w:pStyle w:val="Prrafodelista"/>
        <w:numPr>
          <w:ilvl w:val="0"/>
          <w:numId w:val="26"/>
        </w:numPr>
        <w:autoSpaceDE w:val="0"/>
        <w:autoSpaceDN w:val="0"/>
        <w:adjustRightInd w:val="0"/>
        <w:spacing w:before="120" w:after="120" w:line="240" w:lineRule="auto"/>
        <w:ind w:left="567" w:hanging="283"/>
        <w:contextualSpacing w:val="0"/>
        <w:rPr>
          <w:rStyle w:val="Hipervnculo"/>
          <w:rFonts w:cstheme="minorHAnsi"/>
          <w:color w:val="auto"/>
          <w:u w:val="none"/>
        </w:rPr>
      </w:pPr>
      <w:r w:rsidRPr="00844BE5">
        <w:rPr>
          <w:rStyle w:val="Hipervnculo"/>
          <w:rFonts w:cstheme="minorHAnsi"/>
          <w:color w:val="auto"/>
          <w:u w:val="none"/>
        </w:rPr>
        <w:t xml:space="preserve">Guía </w:t>
      </w:r>
      <w:r w:rsidR="00570511">
        <w:rPr>
          <w:rStyle w:val="Hipervnculo"/>
          <w:rFonts w:cstheme="minorHAnsi"/>
          <w:color w:val="auto"/>
          <w:u w:val="none"/>
        </w:rPr>
        <w:t xml:space="preserve">de seguridad de las TIC </w:t>
      </w:r>
      <w:hyperlink r:id="rId20" w:history="1">
        <w:r w:rsidRPr="00844BE5">
          <w:rPr>
            <w:rStyle w:val="Hipervnculo"/>
            <w:rFonts w:cstheme="minorHAnsi"/>
            <w:color w:val="auto"/>
            <w:u w:val="none"/>
          </w:rPr>
          <w:t>CCN-STIC-8</w:t>
        </w:r>
        <w:r w:rsidR="00CD23C3" w:rsidRPr="00844BE5">
          <w:rPr>
            <w:rStyle w:val="Hipervnculo"/>
            <w:rFonts w:cstheme="minorHAnsi"/>
            <w:color w:val="auto"/>
            <w:u w:val="none"/>
          </w:rPr>
          <w:t>23</w:t>
        </w:r>
        <w:r w:rsidR="001D3F6D" w:rsidRPr="00844BE5">
          <w:rPr>
            <w:rStyle w:val="Hipervnculo"/>
            <w:rFonts w:cstheme="minorHAnsi"/>
            <w:color w:val="auto"/>
            <w:u w:val="none"/>
          </w:rPr>
          <w:t>,</w:t>
        </w:r>
        <w:r w:rsidR="00CD23C3" w:rsidRPr="00844BE5">
          <w:rPr>
            <w:rStyle w:val="Hipervnculo"/>
            <w:rFonts w:cstheme="minorHAnsi"/>
            <w:color w:val="auto"/>
            <w:u w:val="none"/>
          </w:rPr>
          <w:t xml:space="preserve"> Utilización</w:t>
        </w:r>
      </w:hyperlink>
      <w:r w:rsidR="00CD23C3" w:rsidRPr="00844BE5">
        <w:rPr>
          <w:rStyle w:val="Hipervnculo"/>
          <w:rFonts w:cstheme="minorHAnsi"/>
          <w:color w:val="auto"/>
          <w:u w:val="none"/>
        </w:rPr>
        <w:t xml:space="preserve"> de servicios en la nube</w:t>
      </w:r>
      <w:r w:rsidRPr="00844BE5">
        <w:rPr>
          <w:rStyle w:val="Hipervnculo"/>
          <w:rFonts w:cstheme="minorHAnsi"/>
          <w:color w:val="auto"/>
          <w:u w:val="none"/>
        </w:rPr>
        <w:t xml:space="preserve">, </w:t>
      </w:r>
      <w:r w:rsidR="00C778C6" w:rsidRPr="00844BE5">
        <w:rPr>
          <w:rStyle w:val="Hipervnculo"/>
          <w:rFonts w:cstheme="minorHAnsi"/>
          <w:color w:val="auto"/>
          <w:u w:val="none"/>
        </w:rPr>
        <w:t xml:space="preserve">diciembre </w:t>
      </w:r>
      <w:r w:rsidRPr="00844BE5">
        <w:rPr>
          <w:rStyle w:val="Hipervnculo"/>
          <w:rFonts w:cstheme="minorHAnsi"/>
          <w:color w:val="auto"/>
          <w:u w:val="none"/>
        </w:rPr>
        <w:t>201</w:t>
      </w:r>
      <w:r w:rsidR="00CD23C3" w:rsidRPr="00844BE5">
        <w:rPr>
          <w:rStyle w:val="Hipervnculo"/>
          <w:rFonts w:cstheme="minorHAnsi"/>
          <w:color w:val="auto"/>
          <w:u w:val="none"/>
        </w:rPr>
        <w:t>4</w:t>
      </w:r>
    </w:p>
    <w:p w14:paraId="60C64993" w14:textId="44BA9F36" w:rsidR="000004B8" w:rsidRDefault="000004B8" w:rsidP="000004B8">
      <w:pPr>
        <w:pStyle w:val="Prrafodelista"/>
        <w:numPr>
          <w:ilvl w:val="0"/>
          <w:numId w:val="26"/>
        </w:numPr>
        <w:autoSpaceDE w:val="0"/>
        <w:autoSpaceDN w:val="0"/>
        <w:adjustRightInd w:val="0"/>
        <w:spacing w:before="120" w:after="120" w:line="240" w:lineRule="auto"/>
        <w:ind w:left="567" w:hanging="283"/>
        <w:contextualSpacing w:val="0"/>
        <w:rPr>
          <w:rStyle w:val="Hipervnculo"/>
          <w:rFonts w:cstheme="minorHAnsi"/>
          <w:color w:val="auto"/>
          <w:u w:val="none"/>
        </w:rPr>
      </w:pPr>
      <w:r w:rsidRPr="00844BE5">
        <w:rPr>
          <w:rStyle w:val="Hipervnculo"/>
          <w:rFonts w:cstheme="minorHAnsi"/>
          <w:color w:val="auto"/>
          <w:u w:val="none"/>
        </w:rPr>
        <w:t xml:space="preserve">Guía </w:t>
      </w:r>
      <w:r w:rsidR="00570511">
        <w:rPr>
          <w:rStyle w:val="Hipervnculo"/>
          <w:rFonts w:cstheme="minorHAnsi"/>
          <w:color w:val="auto"/>
          <w:u w:val="none"/>
        </w:rPr>
        <w:t xml:space="preserve">de seguridad de las TIC </w:t>
      </w:r>
      <w:hyperlink r:id="rId21" w:history="1">
        <w:r w:rsidRPr="00844BE5">
          <w:rPr>
            <w:rStyle w:val="Hipervnculo"/>
            <w:rFonts w:cstheme="minorHAnsi"/>
            <w:color w:val="auto"/>
            <w:u w:val="none"/>
          </w:rPr>
          <w:t>CCN-STIC-8</w:t>
        </w:r>
        <w:r>
          <w:rPr>
            <w:rStyle w:val="Hipervnculo"/>
            <w:rFonts w:cstheme="minorHAnsi"/>
            <w:color w:val="auto"/>
            <w:u w:val="none"/>
          </w:rPr>
          <w:t>01</w:t>
        </w:r>
        <w:r w:rsidRPr="00844BE5">
          <w:rPr>
            <w:rStyle w:val="Hipervnculo"/>
            <w:rFonts w:cstheme="minorHAnsi"/>
            <w:color w:val="auto"/>
            <w:u w:val="none"/>
          </w:rPr>
          <w:t xml:space="preserve">, </w:t>
        </w:r>
      </w:hyperlink>
      <w:r>
        <w:rPr>
          <w:rStyle w:val="Hipervnculo"/>
          <w:rFonts w:cstheme="minorHAnsi"/>
          <w:color w:val="auto"/>
          <w:u w:val="none"/>
        </w:rPr>
        <w:t>Responsabilidades y funciones</w:t>
      </w:r>
      <w:r w:rsidR="00570511">
        <w:rPr>
          <w:rStyle w:val="Hipervnculo"/>
          <w:rFonts w:cstheme="minorHAnsi"/>
          <w:color w:val="auto"/>
          <w:u w:val="none"/>
        </w:rPr>
        <w:t>, mayo 2019</w:t>
      </w:r>
    </w:p>
    <w:p w14:paraId="467AAD7D" w14:textId="268ABA75" w:rsidR="00127F53" w:rsidRPr="00127F53" w:rsidRDefault="00127F53" w:rsidP="000004B8">
      <w:pPr>
        <w:pStyle w:val="Prrafodelista"/>
        <w:numPr>
          <w:ilvl w:val="0"/>
          <w:numId w:val="26"/>
        </w:numPr>
        <w:autoSpaceDE w:val="0"/>
        <w:autoSpaceDN w:val="0"/>
        <w:adjustRightInd w:val="0"/>
        <w:spacing w:before="120" w:after="120" w:line="240" w:lineRule="auto"/>
        <w:ind w:left="567" w:hanging="283"/>
        <w:contextualSpacing w:val="0"/>
        <w:rPr>
          <w:rStyle w:val="Hipervnculo"/>
          <w:rFonts w:cstheme="minorHAnsi"/>
          <w:color w:val="auto"/>
          <w:u w:val="none"/>
        </w:rPr>
      </w:pPr>
      <w:r w:rsidRPr="00127F53">
        <w:rPr>
          <w:rFonts w:cstheme="minorHAnsi"/>
        </w:rPr>
        <w:t>CCN-STIC-886 Perfil de cumplimiento específico para Sistemas Cloud Privados y Comunitarios</w:t>
      </w:r>
      <w:r>
        <w:rPr>
          <w:rFonts w:cstheme="minorHAnsi"/>
        </w:rPr>
        <w:t>, d</w:t>
      </w:r>
      <w:r w:rsidRPr="00127F53">
        <w:rPr>
          <w:rStyle w:val="Hipervnculo"/>
          <w:rFonts w:cstheme="minorHAnsi"/>
          <w:color w:val="auto"/>
          <w:u w:val="none"/>
        </w:rPr>
        <w:t>iciembre 2019</w:t>
      </w:r>
    </w:p>
    <w:p w14:paraId="11E0BB05" w14:textId="1F7CE056" w:rsidR="00993971" w:rsidRPr="00844BE5" w:rsidRDefault="00127F53" w:rsidP="005C7BA5">
      <w:pPr>
        <w:pStyle w:val="Prrafodelista"/>
        <w:autoSpaceDE w:val="0"/>
        <w:autoSpaceDN w:val="0"/>
        <w:adjustRightInd w:val="0"/>
        <w:spacing w:before="120" w:after="120" w:line="240" w:lineRule="auto"/>
        <w:ind w:left="0"/>
        <w:contextualSpacing w:val="0"/>
        <w:jc w:val="both"/>
        <w:rPr>
          <w:rFonts w:cstheme="minorHAnsi"/>
          <w:lang w:val="en-GB"/>
        </w:rPr>
      </w:pPr>
      <w:hyperlink r:id="rId22" w:history="1">
        <w:r w:rsidR="00993971" w:rsidRPr="00844BE5">
          <w:rPr>
            <w:rStyle w:val="Hipervnculo"/>
            <w:rFonts w:cstheme="minorHAnsi"/>
            <w:lang w:val="en-GB"/>
          </w:rPr>
          <w:t>CIS Controls Cloud Companion Guide</w:t>
        </w:r>
      </w:hyperlink>
      <w:r w:rsidR="00993971" w:rsidRPr="00844BE5">
        <w:rPr>
          <w:rFonts w:cstheme="minorHAnsi"/>
          <w:lang w:val="en-GB"/>
        </w:rPr>
        <w:t xml:space="preserve"> (CIS, Center for Internet Security)</w:t>
      </w:r>
    </w:p>
    <w:p w14:paraId="710CFE6F" w14:textId="40D785B8" w:rsidR="00CD23C3" w:rsidRPr="00844BE5" w:rsidRDefault="00127F53" w:rsidP="005C7BA5">
      <w:pPr>
        <w:pStyle w:val="Prrafodelista"/>
        <w:autoSpaceDE w:val="0"/>
        <w:autoSpaceDN w:val="0"/>
        <w:adjustRightInd w:val="0"/>
        <w:spacing w:before="120" w:after="120" w:line="240" w:lineRule="auto"/>
        <w:ind w:left="0"/>
        <w:contextualSpacing w:val="0"/>
        <w:jc w:val="both"/>
        <w:rPr>
          <w:rStyle w:val="Hipervnculo"/>
          <w:rFonts w:cstheme="minorHAnsi"/>
          <w:color w:val="auto"/>
          <w:u w:val="none"/>
          <w:lang w:val="en-US"/>
        </w:rPr>
      </w:pPr>
      <w:hyperlink r:id="rId23" w:history="1">
        <w:r w:rsidR="001D4EB2" w:rsidRPr="00844BE5">
          <w:rPr>
            <w:rStyle w:val="Hipervnculo"/>
            <w:rFonts w:cstheme="minorHAnsi"/>
            <w:lang w:val="en-US"/>
          </w:rPr>
          <w:t>Cloud Security Alliance</w:t>
        </w:r>
      </w:hyperlink>
      <w:r w:rsidR="001D4EB2" w:rsidRPr="00844BE5">
        <w:rPr>
          <w:rStyle w:val="Hipervnculo"/>
          <w:rFonts w:cstheme="minorHAnsi"/>
          <w:color w:val="auto"/>
          <w:u w:val="none"/>
          <w:lang w:val="en-US"/>
        </w:rPr>
        <w:t xml:space="preserve"> (</w:t>
      </w:r>
      <w:r w:rsidR="00592FE6" w:rsidRPr="00844BE5">
        <w:rPr>
          <w:rStyle w:val="Hipervnculo"/>
          <w:rFonts w:cstheme="minorHAnsi"/>
          <w:color w:val="auto"/>
          <w:u w:val="none"/>
          <w:lang w:val="en-US"/>
        </w:rPr>
        <w:t xml:space="preserve">CSA, </w:t>
      </w:r>
      <w:r w:rsidR="001D4EB2" w:rsidRPr="00844BE5">
        <w:rPr>
          <w:rStyle w:val="Hipervnculo"/>
          <w:rFonts w:cstheme="minorHAnsi"/>
          <w:color w:val="auto"/>
          <w:u w:val="none"/>
          <w:lang w:val="en-US"/>
        </w:rPr>
        <w:t>Spanish chapter)</w:t>
      </w:r>
    </w:p>
    <w:p w14:paraId="337278BE" w14:textId="501AE58B" w:rsidR="0096152F" w:rsidRDefault="0096152F" w:rsidP="000004B8">
      <w:pPr>
        <w:pStyle w:val="Prrafodelista"/>
        <w:numPr>
          <w:ilvl w:val="0"/>
          <w:numId w:val="2"/>
        </w:numPr>
        <w:autoSpaceDE w:val="0"/>
        <w:autoSpaceDN w:val="0"/>
        <w:adjustRightInd w:val="0"/>
        <w:spacing w:before="120" w:after="120" w:line="240" w:lineRule="auto"/>
        <w:ind w:left="567" w:hanging="284"/>
        <w:contextualSpacing w:val="0"/>
        <w:rPr>
          <w:rFonts w:cstheme="minorHAnsi"/>
        </w:rPr>
      </w:pPr>
      <w:r w:rsidRPr="00C61060">
        <w:t xml:space="preserve">Guía de Seguridad </w:t>
      </w:r>
      <w:r w:rsidR="00C61060">
        <w:t>de</w:t>
      </w:r>
      <w:r w:rsidRPr="00C61060">
        <w:t xml:space="preserve"> áreas críticas </w:t>
      </w:r>
      <w:r w:rsidR="00C61060">
        <w:t>para computación en la nube</w:t>
      </w:r>
      <w:r w:rsidRPr="00844BE5">
        <w:rPr>
          <w:rFonts w:cstheme="minorHAnsi"/>
        </w:rPr>
        <w:t>, v4.0</w:t>
      </w:r>
      <w:r w:rsidR="00ED4179">
        <w:rPr>
          <w:rFonts w:cstheme="minorHAnsi"/>
        </w:rPr>
        <w:t>, 2018</w:t>
      </w:r>
    </w:p>
    <w:p w14:paraId="268099D5" w14:textId="20BD56DD" w:rsidR="00335944" w:rsidRPr="00844BE5" w:rsidRDefault="00335944" w:rsidP="000004B8">
      <w:pPr>
        <w:pStyle w:val="Prrafodelista"/>
        <w:numPr>
          <w:ilvl w:val="0"/>
          <w:numId w:val="2"/>
        </w:numPr>
        <w:autoSpaceDE w:val="0"/>
        <w:autoSpaceDN w:val="0"/>
        <w:adjustRightInd w:val="0"/>
        <w:spacing w:before="120" w:after="120" w:line="240" w:lineRule="auto"/>
        <w:ind w:left="567" w:hanging="284"/>
        <w:contextualSpacing w:val="0"/>
        <w:rPr>
          <w:rFonts w:cstheme="minorHAnsi"/>
        </w:rPr>
      </w:pPr>
      <w:r>
        <w:rPr>
          <w:rFonts w:cstheme="minorHAnsi"/>
        </w:rPr>
        <w:t>Cloud Audit &amp; Forensics, 2018</w:t>
      </w:r>
    </w:p>
    <w:p w14:paraId="3DDF1760" w14:textId="4044BAF9" w:rsidR="00D240E1" w:rsidRDefault="00127F53" w:rsidP="005C7BA5">
      <w:pPr>
        <w:pStyle w:val="Prrafodelista"/>
        <w:autoSpaceDE w:val="0"/>
        <w:autoSpaceDN w:val="0"/>
        <w:adjustRightInd w:val="0"/>
        <w:spacing w:before="120" w:after="120" w:line="240" w:lineRule="auto"/>
        <w:ind w:left="0"/>
        <w:contextualSpacing w:val="0"/>
        <w:jc w:val="both"/>
        <w:rPr>
          <w:rFonts w:cstheme="minorHAnsi"/>
          <w:lang w:val="en-GB"/>
        </w:rPr>
      </w:pPr>
      <w:hyperlink r:id="rId24" w:history="1">
        <w:r w:rsidR="00D240E1" w:rsidRPr="00844BE5">
          <w:rPr>
            <w:rStyle w:val="Hipervnculo"/>
            <w:rFonts w:cstheme="minorHAnsi"/>
            <w:lang w:val="en-GB"/>
          </w:rPr>
          <w:t>The NIST Definition of Cloud Computing</w:t>
        </w:r>
      </w:hyperlink>
      <w:r w:rsidR="00D240E1" w:rsidRPr="00844BE5">
        <w:rPr>
          <w:rFonts w:cstheme="minorHAnsi"/>
          <w:lang w:val="en-GB"/>
        </w:rPr>
        <w:t xml:space="preserve"> (NIST SP 800-145, National Institute of Standards and Technology)</w:t>
      </w:r>
    </w:p>
    <w:p w14:paraId="27C5BED8" w14:textId="63CFDFFD" w:rsidR="00105D43" w:rsidRPr="00105D43" w:rsidRDefault="00127F53" w:rsidP="005C7BA5">
      <w:pPr>
        <w:pStyle w:val="Prrafodelista"/>
        <w:autoSpaceDE w:val="0"/>
        <w:autoSpaceDN w:val="0"/>
        <w:adjustRightInd w:val="0"/>
        <w:spacing w:before="120" w:after="120" w:line="240" w:lineRule="auto"/>
        <w:ind w:left="0"/>
        <w:contextualSpacing w:val="0"/>
        <w:jc w:val="both"/>
        <w:rPr>
          <w:rStyle w:val="Hipervnculo"/>
        </w:rPr>
      </w:pPr>
      <w:hyperlink r:id="rId25" w:tooltip="Diccionario de términos y conceptos de la administración electrónica " w:history="1">
        <w:r w:rsidR="00105D43" w:rsidRPr="00105D43">
          <w:rPr>
            <w:rStyle w:val="Hipervnculo"/>
          </w:rPr>
          <w:t xml:space="preserve">Diccionario de términos y conceptos de la administración electrónica </w:t>
        </w:r>
      </w:hyperlink>
    </w:p>
    <w:p w14:paraId="3AAD37CF" w14:textId="148B7386" w:rsidR="004C7FD7" w:rsidRPr="00844BE5" w:rsidRDefault="004C7FD7" w:rsidP="005C7BA5">
      <w:pPr>
        <w:pStyle w:val="Prrafodelista"/>
        <w:autoSpaceDE w:val="0"/>
        <w:autoSpaceDN w:val="0"/>
        <w:adjustRightInd w:val="0"/>
        <w:spacing w:before="120" w:after="120" w:line="240" w:lineRule="auto"/>
        <w:ind w:left="0"/>
        <w:contextualSpacing w:val="0"/>
        <w:jc w:val="both"/>
        <w:rPr>
          <w:rFonts w:cstheme="minorHAnsi"/>
        </w:rPr>
      </w:pPr>
      <w:r w:rsidRPr="00844BE5">
        <w:rPr>
          <w:rFonts w:cstheme="minorHAnsi"/>
        </w:rPr>
        <w:t xml:space="preserve">RD 3/2010, de 8 de enero, por el que se regula el </w:t>
      </w:r>
      <w:hyperlink r:id="rId26" w:history="1">
        <w:r w:rsidRPr="00844BE5">
          <w:rPr>
            <w:rStyle w:val="Hipervnculo"/>
            <w:rFonts w:cstheme="minorHAnsi"/>
          </w:rPr>
          <w:t>Esquema Nacional de Seguridad</w:t>
        </w:r>
      </w:hyperlink>
      <w:r w:rsidRPr="00844BE5">
        <w:rPr>
          <w:rFonts w:cstheme="minorHAnsi"/>
          <w:color w:val="000000"/>
          <w:shd w:val="clear" w:color="auto" w:fill="F8F8F8"/>
        </w:rPr>
        <w:t xml:space="preserve"> </w:t>
      </w:r>
      <w:r w:rsidRPr="00844BE5">
        <w:rPr>
          <w:rFonts w:cstheme="minorHAnsi"/>
        </w:rPr>
        <w:t>en el ámbito de la Administración Electrónica.</w:t>
      </w:r>
    </w:p>
    <w:bookmarkStart w:id="5" w:name="_Hlk1477641"/>
    <w:p w14:paraId="08DC9617" w14:textId="1580ED21" w:rsidR="009638E5" w:rsidRDefault="00012CAF" w:rsidP="005D12E5">
      <w:pPr>
        <w:pStyle w:val="Prrafodelista"/>
        <w:autoSpaceDE w:val="0"/>
        <w:autoSpaceDN w:val="0"/>
        <w:adjustRightInd w:val="0"/>
        <w:spacing w:before="120" w:after="120" w:line="240" w:lineRule="auto"/>
        <w:ind w:left="0"/>
        <w:contextualSpacing w:val="0"/>
        <w:jc w:val="both"/>
        <w:rPr>
          <w:rFonts w:eastAsia="Times New Roman" w:cstheme="minorHAnsi"/>
          <w:b/>
          <w:color w:val="000000"/>
          <w:lang w:eastAsia="es-ES"/>
        </w:rPr>
      </w:pPr>
      <w:r w:rsidRPr="00844BE5">
        <w:rPr>
          <w:rStyle w:val="Hipervnculo"/>
          <w:rFonts w:cstheme="minorHAnsi"/>
        </w:rPr>
        <w:fldChar w:fldCharType="begin"/>
      </w:r>
      <w:r w:rsidRPr="00844BE5">
        <w:rPr>
          <w:rStyle w:val="Hipervnculo"/>
          <w:rFonts w:cstheme="minorHAnsi"/>
        </w:rPr>
        <w:instrText xml:space="preserve"> HYPERLINK "https://www.incibe.es/extfrontinteco/img/File/intecocert/EstudiosInformes/cert_inf_riesgos_y_amenazas_en_cloud_computing.pdf" </w:instrText>
      </w:r>
      <w:r w:rsidRPr="00844BE5">
        <w:rPr>
          <w:rStyle w:val="Hipervnculo"/>
          <w:rFonts w:cstheme="minorHAnsi"/>
        </w:rPr>
        <w:fldChar w:fldCharType="separate"/>
      </w:r>
      <w:r w:rsidR="00CD23C3" w:rsidRPr="00844BE5">
        <w:rPr>
          <w:rStyle w:val="Hipervnculo"/>
          <w:rFonts w:cstheme="minorHAnsi"/>
        </w:rPr>
        <w:t>Riesgos y amenazas en cloud computing</w:t>
      </w:r>
      <w:r w:rsidRPr="00844BE5">
        <w:rPr>
          <w:rStyle w:val="Hipervnculo"/>
          <w:rFonts w:cstheme="minorHAnsi"/>
        </w:rPr>
        <w:fldChar w:fldCharType="end"/>
      </w:r>
      <w:r w:rsidR="008A306B" w:rsidRPr="00844BE5">
        <w:rPr>
          <w:rStyle w:val="Hipervnculo"/>
          <w:rFonts w:cstheme="minorHAnsi"/>
        </w:rPr>
        <w:t>,</w:t>
      </w:r>
      <w:r w:rsidR="008A306B" w:rsidRPr="00844BE5">
        <w:rPr>
          <w:rFonts w:cstheme="minorHAnsi"/>
        </w:rPr>
        <w:t xml:space="preserve"> Instituto Nacional de Ciberseguridad de España (INCIBE)</w:t>
      </w:r>
      <w:bookmarkEnd w:id="5"/>
    </w:p>
    <w:p w14:paraId="2E3821BE" w14:textId="7A6ED489" w:rsidR="0009447B" w:rsidRDefault="0009447B">
      <w:pPr>
        <w:rPr>
          <w:rFonts w:eastAsia="Times New Roman" w:cstheme="minorHAnsi"/>
          <w:b/>
          <w:color w:val="000000"/>
          <w:lang w:eastAsia="es-ES"/>
        </w:rPr>
        <w:sectPr w:rsidR="0009447B" w:rsidSect="004A4EF1">
          <w:headerReference w:type="default" r:id="rId27"/>
          <w:footerReference w:type="default" r:id="rId28"/>
          <w:headerReference w:type="first" r:id="rId29"/>
          <w:footerReference w:type="first" r:id="rId30"/>
          <w:pgSz w:w="11906" w:h="16838" w:code="9"/>
          <w:pgMar w:top="1814" w:right="1418" w:bottom="1134" w:left="1418" w:header="567" w:footer="567" w:gutter="0"/>
          <w:cols w:space="708"/>
          <w:titlePg/>
          <w:docGrid w:linePitch="360"/>
        </w:sectPr>
      </w:pPr>
    </w:p>
    <w:p w14:paraId="562C8A77" w14:textId="757896A5" w:rsidR="00DF5F6F" w:rsidRDefault="00DF5F6F">
      <w:pPr>
        <w:rPr>
          <w:rFonts w:eastAsia="Times New Roman" w:cstheme="minorHAnsi"/>
          <w:b/>
          <w:color w:val="000000"/>
          <w:lang w:eastAsia="es-ES"/>
        </w:rPr>
      </w:pPr>
      <w:r>
        <w:rPr>
          <w:rFonts w:eastAsia="Times New Roman" w:cstheme="minorHAnsi"/>
          <w:b/>
          <w:color w:val="000000"/>
          <w:lang w:eastAsia="es-ES"/>
        </w:rPr>
        <w:lastRenderedPageBreak/>
        <w:t xml:space="preserve">Anexo 1 </w:t>
      </w:r>
      <w:r>
        <w:rPr>
          <w:rFonts w:eastAsia="Times New Roman" w:cstheme="minorHAnsi"/>
          <w:b/>
          <w:lang w:eastAsia="es-ES"/>
        </w:rPr>
        <w:t>Adaptación de los CGTI a entornos cloud</w:t>
      </w:r>
      <w:r>
        <w:rPr>
          <w:rFonts w:eastAsia="Times New Roman" w:cstheme="minorHAnsi"/>
          <w:b/>
          <w:color w:val="000000"/>
          <w:lang w:eastAsia="es-ES"/>
        </w:rPr>
        <w:t xml:space="preserve"> </w:t>
      </w:r>
    </w:p>
    <w:p w14:paraId="4EA06D00" w14:textId="77777777" w:rsidR="00153F96" w:rsidRDefault="00153F96">
      <w:pPr>
        <w:rPr>
          <w:rFonts w:cstheme="minorHAnsi"/>
        </w:rPr>
      </w:pPr>
      <w:r w:rsidRPr="00153F96">
        <w:rPr>
          <w:rFonts w:cstheme="minorHAnsi"/>
        </w:rPr>
        <w:t xml:space="preserve">La siguiente </w:t>
      </w:r>
      <w:r>
        <w:rPr>
          <w:rFonts w:cstheme="minorHAnsi"/>
        </w:rPr>
        <w:t xml:space="preserve">tabla recoge un análisis general de la aplicabilidad de los CGTI a entornos cloud, en función de la categoría del servicio (SaaS/PaaS/IaaS). </w:t>
      </w:r>
    </w:p>
    <w:p w14:paraId="071FEDA6" w14:textId="70D54274" w:rsidR="009638E5" w:rsidRDefault="00153F96" w:rsidP="00153F96">
      <w:pPr>
        <w:jc w:val="both"/>
        <w:rPr>
          <w:rFonts w:cstheme="minorHAnsi"/>
        </w:rPr>
      </w:pPr>
      <w:r>
        <w:rPr>
          <w:rFonts w:cstheme="minorHAnsi"/>
        </w:rPr>
        <w:t>Para cada uno de los controles se indica si aplica (control marcado con “x”) o bien si, por las características del control y del propio servicio cloud no se debe incluir en nuestro trabajo de revisión (controles señalados con “N/A”). Este último caso responde a aquellos controles que, por las propias características de la categoría del servicio, son realizados por el proveedor.</w:t>
      </w:r>
    </w:p>
    <w:p w14:paraId="40635646" w14:textId="0D2F5F45" w:rsidR="00153F96" w:rsidRPr="00153F96" w:rsidRDefault="00153F96" w:rsidP="00153F96">
      <w:pPr>
        <w:jc w:val="both"/>
        <w:rPr>
          <w:rFonts w:cstheme="minorHAnsi"/>
        </w:rPr>
      </w:pPr>
      <w:r>
        <w:rPr>
          <w:rFonts w:cstheme="minorHAnsi"/>
        </w:rPr>
        <w:t xml:space="preserve">Este análisis, no obstante, constituye una base para realizar el trabajo de auditoría de los CGTI y los controles de ciberseguridad, pero deberá ser revisado y adaptado convenientemente al entorno TI del ente en función de sus características específicas, a partir del conocimiento de estas por parte del auditor. </w:t>
      </w:r>
    </w:p>
    <w:tbl>
      <w:tblPr>
        <w:tblW w:w="5054" w:type="pct"/>
        <w:tblCellMar>
          <w:left w:w="70" w:type="dxa"/>
          <w:right w:w="70" w:type="dxa"/>
        </w:tblCellMar>
        <w:tblLook w:val="04A0" w:firstRow="1" w:lastRow="0" w:firstColumn="1" w:lastColumn="0" w:noHBand="0" w:noVBand="1"/>
      </w:tblPr>
      <w:tblGrid>
        <w:gridCol w:w="1196"/>
        <w:gridCol w:w="3515"/>
        <w:gridCol w:w="566"/>
        <w:gridCol w:w="579"/>
        <w:gridCol w:w="520"/>
        <w:gridCol w:w="7654"/>
      </w:tblGrid>
      <w:tr w:rsidR="006F0AB3" w:rsidRPr="006F0AB3" w14:paraId="180F950E" w14:textId="77777777" w:rsidTr="00DB25A2">
        <w:trPr>
          <w:trHeight w:val="360"/>
        </w:trPr>
        <w:tc>
          <w:tcPr>
            <w:tcW w:w="426" w:type="pct"/>
            <w:tcBorders>
              <w:top w:val="single" w:sz="4" w:space="0" w:color="auto"/>
              <w:left w:val="single" w:sz="4" w:space="0" w:color="auto"/>
              <w:bottom w:val="single" w:sz="8" w:space="0" w:color="auto"/>
              <w:right w:val="single" w:sz="4" w:space="0" w:color="auto"/>
            </w:tcBorders>
            <w:shd w:val="clear" w:color="auto" w:fill="833C0B" w:themeFill="accent2" w:themeFillShade="80"/>
            <w:noWrap/>
            <w:vAlign w:val="center"/>
            <w:hideMark/>
          </w:tcPr>
          <w:p w14:paraId="674F7170" w14:textId="77777777" w:rsidR="00153F96" w:rsidRPr="006F0AB3" w:rsidRDefault="00153F96" w:rsidP="007D6CDF">
            <w:pPr>
              <w:spacing w:after="0" w:line="240" w:lineRule="auto"/>
              <w:jc w:val="center"/>
              <w:rPr>
                <w:rFonts w:ascii="Calibri" w:eastAsia="Times New Roman" w:hAnsi="Calibri" w:cs="Calibri"/>
                <w:b/>
                <w:bCs/>
                <w:color w:val="FFFFFF" w:themeColor="background1"/>
                <w:lang w:eastAsia="es-ES"/>
              </w:rPr>
            </w:pPr>
            <w:r w:rsidRPr="006F0AB3">
              <w:rPr>
                <w:rFonts w:ascii="Calibri" w:eastAsia="Times New Roman" w:hAnsi="Calibri" w:cs="Calibri"/>
                <w:b/>
                <w:bCs/>
                <w:color w:val="FFFFFF" w:themeColor="background1"/>
                <w:lang w:eastAsia="es-ES"/>
              </w:rPr>
              <w:t>Área</w:t>
            </w:r>
          </w:p>
        </w:tc>
        <w:tc>
          <w:tcPr>
            <w:tcW w:w="1253" w:type="pct"/>
            <w:tcBorders>
              <w:top w:val="single" w:sz="4" w:space="0" w:color="auto"/>
              <w:left w:val="nil"/>
              <w:bottom w:val="single" w:sz="8" w:space="0" w:color="auto"/>
              <w:right w:val="single" w:sz="4" w:space="0" w:color="auto"/>
            </w:tcBorders>
            <w:shd w:val="clear" w:color="auto" w:fill="833C0B" w:themeFill="accent2" w:themeFillShade="80"/>
            <w:noWrap/>
            <w:vAlign w:val="center"/>
            <w:hideMark/>
          </w:tcPr>
          <w:p w14:paraId="6DBFC9F9" w14:textId="77777777" w:rsidR="00153F96" w:rsidRPr="006F0AB3" w:rsidRDefault="00153F96" w:rsidP="007D6CDF">
            <w:pPr>
              <w:spacing w:after="0" w:line="240" w:lineRule="auto"/>
              <w:jc w:val="center"/>
              <w:rPr>
                <w:rFonts w:ascii="Calibri" w:eastAsia="Times New Roman" w:hAnsi="Calibri" w:cs="Calibri"/>
                <w:b/>
                <w:bCs/>
                <w:color w:val="FFFFFF" w:themeColor="background1"/>
                <w:lang w:eastAsia="es-ES"/>
              </w:rPr>
            </w:pPr>
            <w:r w:rsidRPr="006F0AB3">
              <w:rPr>
                <w:rFonts w:ascii="Calibri" w:eastAsia="Times New Roman" w:hAnsi="Calibri" w:cs="Calibri"/>
                <w:b/>
                <w:bCs/>
                <w:color w:val="FFFFFF" w:themeColor="background1"/>
                <w:lang w:eastAsia="es-ES"/>
              </w:rPr>
              <w:t>Control</w:t>
            </w:r>
          </w:p>
        </w:tc>
        <w:tc>
          <w:tcPr>
            <w:tcW w:w="202" w:type="pct"/>
            <w:tcBorders>
              <w:top w:val="single" w:sz="4" w:space="0" w:color="auto"/>
              <w:left w:val="nil"/>
              <w:bottom w:val="single" w:sz="8" w:space="0" w:color="auto"/>
              <w:right w:val="single" w:sz="4" w:space="0" w:color="auto"/>
            </w:tcBorders>
            <w:shd w:val="clear" w:color="auto" w:fill="833C0B" w:themeFill="accent2" w:themeFillShade="80"/>
            <w:noWrap/>
            <w:vAlign w:val="center"/>
            <w:hideMark/>
          </w:tcPr>
          <w:p w14:paraId="71B4520F" w14:textId="77777777" w:rsidR="00153F96" w:rsidRPr="006F0AB3" w:rsidRDefault="00153F96" w:rsidP="007D6CDF">
            <w:pPr>
              <w:spacing w:after="0" w:line="240" w:lineRule="auto"/>
              <w:jc w:val="center"/>
              <w:rPr>
                <w:rFonts w:ascii="Calibri" w:eastAsia="Times New Roman" w:hAnsi="Calibri" w:cs="Calibri"/>
                <w:b/>
                <w:bCs/>
                <w:color w:val="FFFFFF" w:themeColor="background1"/>
                <w:lang w:eastAsia="es-ES"/>
              </w:rPr>
            </w:pPr>
            <w:r w:rsidRPr="006F0AB3">
              <w:rPr>
                <w:rFonts w:ascii="Calibri" w:eastAsia="Times New Roman" w:hAnsi="Calibri" w:cs="Calibri"/>
                <w:b/>
                <w:bCs/>
                <w:color w:val="FFFFFF" w:themeColor="background1"/>
                <w:lang w:eastAsia="es-ES"/>
              </w:rPr>
              <w:t>SaaS</w:t>
            </w:r>
          </w:p>
        </w:tc>
        <w:tc>
          <w:tcPr>
            <w:tcW w:w="206" w:type="pct"/>
            <w:tcBorders>
              <w:top w:val="single" w:sz="4" w:space="0" w:color="auto"/>
              <w:left w:val="nil"/>
              <w:bottom w:val="single" w:sz="8" w:space="0" w:color="auto"/>
              <w:right w:val="single" w:sz="4" w:space="0" w:color="auto"/>
            </w:tcBorders>
            <w:shd w:val="clear" w:color="auto" w:fill="833C0B" w:themeFill="accent2" w:themeFillShade="80"/>
            <w:noWrap/>
            <w:vAlign w:val="center"/>
            <w:hideMark/>
          </w:tcPr>
          <w:p w14:paraId="2DBD0C5A" w14:textId="77777777" w:rsidR="00153F96" w:rsidRPr="006F0AB3" w:rsidRDefault="00153F96" w:rsidP="007D6CDF">
            <w:pPr>
              <w:spacing w:after="0" w:line="240" w:lineRule="auto"/>
              <w:jc w:val="center"/>
              <w:rPr>
                <w:rFonts w:ascii="Calibri" w:eastAsia="Times New Roman" w:hAnsi="Calibri" w:cs="Calibri"/>
                <w:b/>
                <w:bCs/>
                <w:color w:val="FFFFFF" w:themeColor="background1"/>
                <w:lang w:eastAsia="es-ES"/>
              </w:rPr>
            </w:pPr>
            <w:r w:rsidRPr="006F0AB3">
              <w:rPr>
                <w:rFonts w:ascii="Calibri" w:eastAsia="Times New Roman" w:hAnsi="Calibri" w:cs="Calibri"/>
                <w:b/>
                <w:bCs/>
                <w:color w:val="FFFFFF" w:themeColor="background1"/>
                <w:lang w:eastAsia="es-ES"/>
              </w:rPr>
              <w:t>PaaS</w:t>
            </w:r>
          </w:p>
        </w:tc>
        <w:tc>
          <w:tcPr>
            <w:tcW w:w="185" w:type="pct"/>
            <w:tcBorders>
              <w:top w:val="single" w:sz="4" w:space="0" w:color="auto"/>
              <w:left w:val="nil"/>
              <w:bottom w:val="single" w:sz="8" w:space="0" w:color="auto"/>
              <w:right w:val="single" w:sz="4" w:space="0" w:color="auto"/>
            </w:tcBorders>
            <w:shd w:val="clear" w:color="auto" w:fill="833C0B" w:themeFill="accent2" w:themeFillShade="80"/>
            <w:noWrap/>
            <w:vAlign w:val="center"/>
            <w:hideMark/>
          </w:tcPr>
          <w:p w14:paraId="488F98C2" w14:textId="77777777" w:rsidR="00153F96" w:rsidRPr="006F0AB3" w:rsidRDefault="00153F96" w:rsidP="007D6CDF">
            <w:pPr>
              <w:spacing w:after="0" w:line="240" w:lineRule="auto"/>
              <w:jc w:val="center"/>
              <w:rPr>
                <w:rFonts w:ascii="Calibri" w:eastAsia="Times New Roman" w:hAnsi="Calibri" w:cs="Calibri"/>
                <w:b/>
                <w:bCs/>
                <w:color w:val="FFFFFF" w:themeColor="background1"/>
                <w:lang w:eastAsia="es-ES"/>
              </w:rPr>
            </w:pPr>
            <w:r w:rsidRPr="006F0AB3">
              <w:rPr>
                <w:rFonts w:ascii="Calibri" w:eastAsia="Times New Roman" w:hAnsi="Calibri" w:cs="Calibri"/>
                <w:b/>
                <w:bCs/>
                <w:color w:val="FFFFFF" w:themeColor="background1"/>
                <w:lang w:eastAsia="es-ES"/>
              </w:rPr>
              <w:t>IaaS</w:t>
            </w:r>
          </w:p>
        </w:tc>
        <w:tc>
          <w:tcPr>
            <w:tcW w:w="2727" w:type="pct"/>
            <w:tcBorders>
              <w:top w:val="single" w:sz="4" w:space="0" w:color="auto"/>
              <w:left w:val="nil"/>
              <w:bottom w:val="single" w:sz="8" w:space="0" w:color="auto"/>
              <w:right w:val="single" w:sz="4" w:space="0" w:color="auto"/>
            </w:tcBorders>
            <w:shd w:val="clear" w:color="auto" w:fill="833C0B" w:themeFill="accent2" w:themeFillShade="80"/>
            <w:noWrap/>
            <w:vAlign w:val="center"/>
            <w:hideMark/>
          </w:tcPr>
          <w:p w14:paraId="47E42FEE" w14:textId="727BA9D6" w:rsidR="00153F96" w:rsidRPr="006F0AB3" w:rsidRDefault="00153F96" w:rsidP="007D6CDF">
            <w:pPr>
              <w:spacing w:after="0" w:line="240" w:lineRule="auto"/>
              <w:jc w:val="center"/>
              <w:rPr>
                <w:rFonts w:ascii="Calibri" w:eastAsia="Times New Roman" w:hAnsi="Calibri" w:cs="Calibri"/>
                <w:b/>
                <w:bCs/>
                <w:color w:val="FFFFFF" w:themeColor="background1"/>
                <w:lang w:eastAsia="es-ES"/>
              </w:rPr>
            </w:pPr>
            <w:r w:rsidRPr="006F0AB3">
              <w:rPr>
                <w:rFonts w:ascii="Calibri" w:eastAsia="Times New Roman" w:hAnsi="Calibri" w:cs="Calibri"/>
                <w:b/>
                <w:bCs/>
                <w:color w:val="FFFFFF" w:themeColor="background1"/>
                <w:lang w:eastAsia="es-ES"/>
              </w:rPr>
              <w:t xml:space="preserve">Comentarios </w:t>
            </w:r>
          </w:p>
        </w:tc>
      </w:tr>
      <w:tr w:rsidR="00153F96" w:rsidRPr="00153F96" w14:paraId="5292161A" w14:textId="77777777" w:rsidTr="00DB25A2">
        <w:trPr>
          <w:trHeight w:val="300"/>
        </w:trPr>
        <w:tc>
          <w:tcPr>
            <w:tcW w:w="426" w:type="pct"/>
            <w:vMerge w:val="restart"/>
            <w:tcBorders>
              <w:top w:val="single" w:sz="8" w:space="0" w:color="auto"/>
              <w:left w:val="single" w:sz="8" w:space="0" w:color="auto"/>
              <w:bottom w:val="single" w:sz="8" w:space="0" w:color="000000"/>
              <w:right w:val="single" w:sz="8" w:space="0" w:color="auto"/>
            </w:tcBorders>
            <w:shd w:val="clear" w:color="000000" w:fill="FFF2CC"/>
            <w:vAlign w:val="center"/>
            <w:hideMark/>
          </w:tcPr>
          <w:p w14:paraId="28D5FA87" w14:textId="77777777" w:rsidR="00153F96" w:rsidRPr="007D6CDF" w:rsidRDefault="00153F96" w:rsidP="00153F96">
            <w:pPr>
              <w:spacing w:after="0" w:line="240" w:lineRule="auto"/>
              <w:jc w:val="center"/>
              <w:rPr>
                <w:rFonts w:ascii="Calibri" w:eastAsia="Times New Roman" w:hAnsi="Calibri" w:cs="Calibri"/>
                <w:b/>
                <w:color w:val="000000"/>
                <w:sz w:val="20"/>
                <w:szCs w:val="20"/>
                <w:lang w:eastAsia="es-ES"/>
              </w:rPr>
            </w:pPr>
            <w:r w:rsidRPr="007D6CDF">
              <w:rPr>
                <w:rFonts w:ascii="Calibri" w:eastAsia="Times New Roman" w:hAnsi="Calibri" w:cs="Calibri"/>
                <w:b/>
                <w:color w:val="000000"/>
                <w:sz w:val="20"/>
                <w:szCs w:val="20"/>
                <w:lang w:eastAsia="es-ES"/>
              </w:rPr>
              <w:t>A. Marco Organizativo</w:t>
            </w:r>
          </w:p>
        </w:tc>
        <w:tc>
          <w:tcPr>
            <w:tcW w:w="1253" w:type="pct"/>
            <w:tcBorders>
              <w:top w:val="single" w:sz="8" w:space="0" w:color="auto"/>
              <w:left w:val="single" w:sz="8" w:space="0" w:color="auto"/>
              <w:bottom w:val="single" w:sz="8" w:space="0" w:color="833C0B" w:themeColor="accent2" w:themeShade="80"/>
              <w:right w:val="single" w:sz="8" w:space="0" w:color="auto"/>
            </w:tcBorders>
            <w:shd w:val="clear" w:color="000000" w:fill="FFF2CC"/>
            <w:vAlign w:val="center"/>
            <w:hideMark/>
          </w:tcPr>
          <w:p w14:paraId="33F8C89D" w14:textId="77777777" w:rsidR="00153F96" w:rsidRPr="007D6CDF" w:rsidRDefault="00153F96" w:rsidP="00FD4E84">
            <w:pPr>
              <w:spacing w:after="0" w:line="240" w:lineRule="auto"/>
              <w:ind w:left="289" w:hanging="289"/>
              <w:rPr>
                <w:rFonts w:ascii="Calibri" w:eastAsia="Times New Roman" w:hAnsi="Calibri" w:cs="Calibri"/>
                <w:sz w:val="20"/>
                <w:szCs w:val="20"/>
                <w:lang w:eastAsia="es-ES"/>
              </w:rPr>
            </w:pPr>
            <w:r w:rsidRPr="007D6CDF">
              <w:rPr>
                <w:rFonts w:ascii="Calibri" w:eastAsia="Times New Roman" w:hAnsi="Calibri" w:cs="Calibri"/>
                <w:sz w:val="20"/>
                <w:szCs w:val="20"/>
                <w:lang w:eastAsia="es-ES"/>
              </w:rPr>
              <w:t>A1 - CLCS 8 Cumplimiento de Legalidad</w:t>
            </w:r>
          </w:p>
        </w:tc>
        <w:tc>
          <w:tcPr>
            <w:tcW w:w="202" w:type="pct"/>
            <w:tcBorders>
              <w:top w:val="single" w:sz="8" w:space="0" w:color="auto"/>
              <w:left w:val="single" w:sz="8" w:space="0" w:color="auto"/>
              <w:bottom w:val="single" w:sz="8" w:space="0" w:color="833C0B" w:themeColor="accent2" w:themeShade="80"/>
              <w:right w:val="single" w:sz="8" w:space="0" w:color="auto"/>
            </w:tcBorders>
            <w:shd w:val="clear" w:color="000000" w:fill="FFF2CC"/>
            <w:noWrap/>
            <w:vAlign w:val="center"/>
            <w:hideMark/>
          </w:tcPr>
          <w:p w14:paraId="6A34F205"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206" w:type="pct"/>
            <w:tcBorders>
              <w:top w:val="single" w:sz="8" w:space="0" w:color="auto"/>
              <w:left w:val="single" w:sz="8" w:space="0" w:color="auto"/>
              <w:bottom w:val="single" w:sz="8" w:space="0" w:color="833C0B" w:themeColor="accent2" w:themeShade="80"/>
              <w:right w:val="single" w:sz="8" w:space="0" w:color="auto"/>
            </w:tcBorders>
            <w:shd w:val="clear" w:color="000000" w:fill="FFF2CC"/>
            <w:noWrap/>
            <w:vAlign w:val="center"/>
            <w:hideMark/>
          </w:tcPr>
          <w:p w14:paraId="0C35927F"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185" w:type="pct"/>
            <w:tcBorders>
              <w:top w:val="single" w:sz="8" w:space="0" w:color="auto"/>
              <w:left w:val="single" w:sz="8" w:space="0" w:color="auto"/>
              <w:bottom w:val="single" w:sz="8" w:space="0" w:color="833C0B" w:themeColor="accent2" w:themeShade="80"/>
              <w:right w:val="single" w:sz="8" w:space="0" w:color="auto"/>
            </w:tcBorders>
            <w:shd w:val="clear" w:color="000000" w:fill="FFF2CC"/>
            <w:noWrap/>
            <w:vAlign w:val="center"/>
            <w:hideMark/>
          </w:tcPr>
          <w:p w14:paraId="7E41BC18"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2727" w:type="pct"/>
            <w:vMerge w:val="restart"/>
            <w:tcBorders>
              <w:top w:val="single" w:sz="8" w:space="0" w:color="auto"/>
              <w:left w:val="single" w:sz="8" w:space="0" w:color="auto"/>
              <w:bottom w:val="single" w:sz="8" w:space="0" w:color="000000"/>
              <w:right w:val="single" w:sz="8" w:space="0" w:color="auto"/>
            </w:tcBorders>
            <w:shd w:val="clear" w:color="000000" w:fill="FFF2CC"/>
            <w:vAlign w:val="center"/>
            <w:hideMark/>
          </w:tcPr>
          <w:p w14:paraId="3AD9DA22" w14:textId="77777777" w:rsidR="00153F96" w:rsidRPr="00153F96" w:rsidRDefault="00153F96" w:rsidP="00FD4E84">
            <w:pPr>
              <w:spacing w:after="0" w:line="240" w:lineRule="auto"/>
              <w:rPr>
                <w:rFonts w:ascii="Calibri" w:eastAsia="Times New Roman" w:hAnsi="Calibri" w:cs="Calibri"/>
                <w:color w:val="000000"/>
                <w:sz w:val="18"/>
                <w:szCs w:val="18"/>
                <w:lang w:eastAsia="es-ES"/>
              </w:rPr>
            </w:pPr>
            <w:r w:rsidRPr="00153F96">
              <w:rPr>
                <w:rFonts w:ascii="Calibri" w:eastAsia="Times New Roman" w:hAnsi="Calibri" w:cs="Calibri"/>
                <w:color w:val="000000"/>
                <w:sz w:val="18"/>
                <w:szCs w:val="18"/>
                <w:lang w:eastAsia="es-ES"/>
              </w:rPr>
              <w:t>Los controles del área A, al ser de naturaleza organizativa, se revisarán de igual forma tanto para entornos cloud como para entornos TI propios.</w:t>
            </w:r>
          </w:p>
        </w:tc>
      </w:tr>
      <w:tr w:rsidR="00153F96" w:rsidRPr="00153F96" w14:paraId="0B1546E3" w14:textId="77777777" w:rsidTr="00DB25A2">
        <w:trPr>
          <w:trHeight w:val="300"/>
        </w:trPr>
        <w:tc>
          <w:tcPr>
            <w:tcW w:w="426" w:type="pct"/>
            <w:vMerge/>
            <w:tcBorders>
              <w:top w:val="single" w:sz="8" w:space="0" w:color="auto"/>
              <w:left w:val="single" w:sz="8" w:space="0" w:color="auto"/>
              <w:bottom w:val="single" w:sz="8" w:space="0" w:color="000000"/>
              <w:right w:val="single" w:sz="8" w:space="0" w:color="auto"/>
            </w:tcBorders>
            <w:vAlign w:val="center"/>
            <w:hideMark/>
          </w:tcPr>
          <w:p w14:paraId="4966D5C9" w14:textId="77777777" w:rsidR="00153F96" w:rsidRPr="007D6CDF" w:rsidRDefault="00153F96" w:rsidP="00153F96">
            <w:pPr>
              <w:spacing w:after="0" w:line="240" w:lineRule="auto"/>
              <w:rPr>
                <w:rFonts w:ascii="Calibri" w:eastAsia="Times New Roman" w:hAnsi="Calibri" w:cs="Calibri"/>
                <w:b/>
                <w:color w:val="000000"/>
                <w:sz w:val="20"/>
                <w:szCs w:val="20"/>
                <w:lang w:eastAsia="es-ES"/>
              </w:rPr>
            </w:pPr>
          </w:p>
        </w:tc>
        <w:tc>
          <w:tcPr>
            <w:tcW w:w="1253"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000000" w:fill="FFF2CC"/>
            <w:vAlign w:val="center"/>
            <w:hideMark/>
          </w:tcPr>
          <w:p w14:paraId="092460E8" w14:textId="77777777" w:rsidR="00153F96" w:rsidRPr="007D6CDF" w:rsidRDefault="00153F96" w:rsidP="00FD4E84">
            <w:pPr>
              <w:spacing w:after="0" w:line="240" w:lineRule="auto"/>
              <w:ind w:left="289" w:hanging="289"/>
              <w:rPr>
                <w:rFonts w:ascii="Calibri" w:eastAsia="Times New Roman" w:hAnsi="Calibri" w:cs="Calibri"/>
                <w:sz w:val="20"/>
                <w:szCs w:val="20"/>
                <w:lang w:eastAsia="es-ES"/>
              </w:rPr>
            </w:pPr>
            <w:r w:rsidRPr="007D6CDF">
              <w:rPr>
                <w:rFonts w:ascii="Calibri" w:eastAsia="Times New Roman" w:hAnsi="Calibri" w:cs="Calibri"/>
                <w:sz w:val="20"/>
                <w:szCs w:val="20"/>
                <w:lang w:eastAsia="es-ES"/>
              </w:rPr>
              <w:t>A2 Estrategia de Seguridad</w:t>
            </w:r>
          </w:p>
        </w:tc>
        <w:tc>
          <w:tcPr>
            <w:tcW w:w="202"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000000" w:fill="FFF2CC"/>
            <w:noWrap/>
            <w:vAlign w:val="center"/>
            <w:hideMark/>
          </w:tcPr>
          <w:p w14:paraId="53A65270"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206"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000000" w:fill="FFF2CC"/>
            <w:noWrap/>
            <w:vAlign w:val="center"/>
            <w:hideMark/>
          </w:tcPr>
          <w:p w14:paraId="2EB56855"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185"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000000" w:fill="FFF2CC"/>
            <w:noWrap/>
            <w:vAlign w:val="center"/>
            <w:hideMark/>
          </w:tcPr>
          <w:p w14:paraId="00704FF6"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2727" w:type="pct"/>
            <w:vMerge/>
            <w:tcBorders>
              <w:top w:val="single" w:sz="8" w:space="0" w:color="auto"/>
              <w:left w:val="single" w:sz="8" w:space="0" w:color="auto"/>
              <w:bottom w:val="single" w:sz="8" w:space="0" w:color="000000"/>
              <w:right w:val="single" w:sz="8" w:space="0" w:color="auto"/>
            </w:tcBorders>
            <w:vAlign w:val="center"/>
            <w:hideMark/>
          </w:tcPr>
          <w:p w14:paraId="6FB843FD" w14:textId="77777777" w:rsidR="00153F96" w:rsidRPr="00153F96" w:rsidRDefault="00153F96" w:rsidP="00FD4E84">
            <w:pPr>
              <w:spacing w:after="0" w:line="240" w:lineRule="auto"/>
              <w:rPr>
                <w:rFonts w:ascii="Calibri" w:eastAsia="Times New Roman" w:hAnsi="Calibri" w:cs="Calibri"/>
                <w:color w:val="000000"/>
                <w:sz w:val="18"/>
                <w:szCs w:val="18"/>
                <w:lang w:eastAsia="es-ES"/>
              </w:rPr>
            </w:pPr>
          </w:p>
        </w:tc>
      </w:tr>
      <w:tr w:rsidR="00153F96" w:rsidRPr="00153F96" w14:paraId="237912A7" w14:textId="77777777" w:rsidTr="00DB25A2">
        <w:trPr>
          <w:trHeight w:val="300"/>
        </w:trPr>
        <w:tc>
          <w:tcPr>
            <w:tcW w:w="426" w:type="pct"/>
            <w:vMerge/>
            <w:tcBorders>
              <w:top w:val="single" w:sz="8" w:space="0" w:color="auto"/>
              <w:left w:val="single" w:sz="8" w:space="0" w:color="auto"/>
              <w:bottom w:val="single" w:sz="8" w:space="0" w:color="000000"/>
              <w:right w:val="single" w:sz="8" w:space="0" w:color="auto"/>
            </w:tcBorders>
            <w:vAlign w:val="center"/>
            <w:hideMark/>
          </w:tcPr>
          <w:p w14:paraId="4A4D28CA" w14:textId="77777777" w:rsidR="00153F96" w:rsidRPr="007D6CDF" w:rsidRDefault="00153F96" w:rsidP="00153F96">
            <w:pPr>
              <w:spacing w:after="0" w:line="240" w:lineRule="auto"/>
              <w:rPr>
                <w:rFonts w:ascii="Calibri" w:eastAsia="Times New Roman" w:hAnsi="Calibri" w:cs="Calibri"/>
                <w:b/>
                <w:color w:val="000000"/>
                <w:sz w:val="20"/>
                <w:szCs w:val="20"/>
                <w:lang w:eastAsia="es-ES"/>
              </w:rPr>
            </w:pPr>
          </w:p>
        </w:tc>
        <w:tc>
          <w:tcPr>
            <w:tcW w:w="1253"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000000" w:fill="FFF2CC"/>
            <w:vAlign w:val="center"/>
            <w:hideMark/>
          </w:tcPr>
          <w:p w14:paraId="0D229B50" w14:textId="77777777" w:rsidR="00153F96" w:rsidRPr="007D6CDF" w:rsidRDefault="00153F96" w:rsidP="00FD4E84">
            <w:pPr>
              <w:spacing w:after="0" w:line="240" w:lineRule="auto"/>
              <w:ind w:left="289" w:hanging="289"/>
              <w:rPr>
                <w:rFonts w:ascii="Calibri" w:eastAsia="Times New Roman" w:hAnsi="Calibri" w:cs="Calibri"/>
                <w:sz w:val="20"/>
                <w:szCs w:val="20"/>
                <w:lang w:eastAsia="es-ES"/>
              </w:rPr>
            </w:pPr>
            <w:r w:rsidRPr="007D6CDF">
              <w:rPr>
                <w:rFonts w:ascii="Calibri" w:eastAsia="Times New Roman" w:hAnsi="Calibri" w:cs="Calibri"/>
                <w:sz w:val="20"/>
                <w:szCs w:val="20"/>
                <w:lang w:eastAsia="es-ES"/>
              </w:rPr>
              <w:t>A3 Organización y Personal de TI</w:t>
            </w:r>
          </w:p>
        </w:tc>
        <w:tc>
          <w:tcPr>
            <w:tcW w:w="202"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000000" w:fill="FFF2CC"/>
            <w:noWrap/>
            <w:vAlign w:val="center"/>
            <w:hideMark/>
          </w:tcPr>
          <w:p w14:paraId="03ACFBF2"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206"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000000" w:fill="FFF2CC"/>
            <w:noWrap/>
            <w:vAlign w:val="center"/>
            <w:hideMark/>
          </w:tcPr>
          <w:p w14:paraId="1E4A2904"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185"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000000" w:fill="FFF2CC"/>
            <w:noWrap/>
            <w:vAlign w:val="center"/>
            <w:hideMark/>
          </w:tcPr>
          <w:p w14:paraId="1E14377A"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2727" w:type="pct"/>
            <w:vMerge/>
            <w:tcBorders>
              <w:top w:val="single" w:sz="8" w:space="0" w:color="auto"/>
              <w:left w:val="single" w:sz="8" w:space="0" w:color="auto"/>
              <w:bottom w:val="single" w:sz="8" w:space="0" w:color="000000"/>
              <w:right w:val="single" w:sz="8" w:space="0" w:color="auto"/>
            </w:tcBorders>
            <w:vAlign w:val="center"/>
            <w:hideMark/>
          </w:tcPr>
          <w:p w14:paraId="08A0FF91" w14:textId="77777777" w:rsidR="00153F96" w:rsidRPr="00153F96" w:rsidRDefault="00153F96" w:rsidP="00FD4E84">
            <w:pPr>
              <w:spacing w:after="0" w:line="240" w:lineRule="auto"/>
              <w:rPr>
                <w:rFonts w:ascii="Calibri" w:eastAsia="Times New Roman" w:hAnsi="Calibri" w:cs="Calibri"/>
                <w:color w:val="000000"/>
                <w:sz w:val="18"/>
                <w:szCs w:val="18"/>
                <w:lang w:eastAsia="es-ES"/>
              </w:rPr>
            </w:pPr>
          </w:p>
        </w:tc>
      </w:tr>
      <w:tr w:rsidR="00153F96" w:rsidRPr="00153F96" w14:paraId="5583F86F" w14:textId="77777777" w:rsidTr="00DB25A2">
        <w:trPr>
          <w:trHeight w:val="315"/>
        </w:trPr>
        <w:tc>
          <w:tcPr>
            <w:tcW w:w="426" w:type="pct"/>
            <w:vMerge/>
            <w:tcBorders>
              <w:top w:val="single" w:sz="8" w:space="0" w:color="auto"/>
              <w:left w:val="single" w:sz="8" w:space="0" w:color="auto"/>
              <w:bottom w:val="single" w:sz="8" w:space="0" w:color="000000"/>
              <w:right w:val="single" w:sz="8" w:space="0" w:color="auto"/>
            </w:tcBorders>
            <w:vAlign w:val="center"/>
            <w:hideMark/>
          </w:tcPr>
          <w:p w14:paraId="76CD5440" w14:textId="77777777" w:rsidR="00153F96" w:rsidRPr="007D6CDF" w:rsidRDefault="00153F96" w:rsidP="00153F96">
            <w:pPr>
              <w:spacing w:after="0" w:line="240" w:lineRule="auto"/>
              <w:rPr>
                <w:rFonts w:ascii="Calibri" w:eastAsia="Times New Roman" w:hAnsi="Calibri" w:cs="Calibri"/>
                <w:b/>
                <w:color w:val="000000"/>
                <w:sz w:val="20"/>
                <w:szCs w:val="20"/>
                <w:lang w:eastAsia="es-ES"/>
              </w:rPr>
            </w:pPr>
          </w:p>
        </w:tc>
        <w:tc>
          <w:tcPr>
            <w:tcW w:w="1253" w:type="pct"/>
            <w:tcBorders>
              <w:top w:val="single" w:sz="8" w:space="0" w:color="833C0B" w:themeColor="accent2" w:themeShade="80"/>
              <w:left w:val="single" w:sz="8" w:space="0" w:color="auto"/>
              <w:bottom w:val="single" w:sz="8" w:space="0" w:color="auto"/>
              <w:right w:val="single" w:sz="8" w:space="0" w:color="auto"/>
            </w:tcBorders>
            <w:shd w:val="clear" w:color="000000" w:fill="FFF2CC"/>
            <w:vAlign w:val="center"/>
            <w:hideMark/>
          </w:tcPr>
          <w:p w14:paraId="3E26154F" w14:textId="77777777" w:rsidR="00153F96" w:rsidRPr="007D6CDF" w:rsidRDefault="00153F96" w:rsidP="00FD4E84">
            <w:pPr>
              <w:spacing w:after="0" w:line="240" w:lineRule="auto"/>
              <w:ind w:left="289" w:hanging="289"/>
              <w:rPr>
                <w:rFonts w:ascii="Calibri" w:eastAsia="Times New Roman" w:hAnsi="Calibri" w:cs="Calibri"/>
                <w:sz w:val="20"/>
                <w:szCs w:val="20"/>
                <w:lang w:eastAsia="es-ES"/>
              </w:rPr>
            </w:pPr>
            <w:r w:rsidRPr="007D6CDF">
              <w:rPr>
                <w:rFonts w:ascii="Calibri" w:eastAsia="Times New Roman" w:hAnsi="Calibri" w:cs="Calibri"/>
                <w:sz w:val="20"/>
                <w:szCs w:val="20"/>
                <w:lang w:eastAsia="es-ES"/>
              </w:rPr>
              <w:t>A4 Marco Normativo y Procedimental de Seguridad</w:t>
            </w:r>
          </w:p>
        </w:tc>
        <w:tc>
          <w:tcPr>
            <w:tcW w:w="202" w:type="pct"/>
            <w:tcBorders>
              <w:top w:val="single" w:sz="8" w:space="0" w:color="833C0B" w:themeColor="accent2" w:themeShade="80"/>
              <w:left w:val="single" w:sz="8" w:space="0" w:color="auto"/>
              <w:bottom w:val="single" w:sz="8" w:space="0" w:color="auto"/>
              <w:right w:val="single" w:sz="8" w:space="0" w:color="auto"/>
            </w:tcBorders>
            <w:shd w:val="clear" w:color="000000" w:fill="FFF2CC"/>
            <w:noWrap/>
            <w:vAlign w:val="center"/>
            <w:hideMark/>
          </w:tcPr>
          <w:p w14:paraId="560C4D7E"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206" w:type="pct"/>
            <w:tcBorders>
              <w:top w:val="single" w:sz="8" w:space="0" w:color="833C0B" w:themeColor="accent2" w:themeShade="80"/>
              <w:left w:val="single" w:sz="8" w:space="0" w:color="auto"/>
              <w:bottom w:val="single" w:sz="8" w:space="0" w:color="auto"/>
              <w:right w:val="single" w:sz="8" w:space="0" w:color="auto"/>
            </w:tcBorders>
            <w:shd w:val="clear" w:color="000000" w:fill="FFF2CC"/>
            <w:noWrap/>
            <w:vAlign w:val="center"/>
            <w:hideMark/>
          </w:tcPr>
          <w:p w14:paraId="3105B3CA"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185" w:type="pct"/>
            <w:tcBorders>
              <w:top w:val="single" w:sz="8" w:space="0" w:color="833C0B" w:themeColor="accent2" w:themeShade="80"/>
              <w:left w:val="single" w:sz="8" w:space="0" w:color="auto"/>
              <w:bottom w:val="single" w:sz="8" w:space="0" w:color="auto"/>
              <w:right w:val="single" w:sz="8" w:space="0" w:color="auto"/>
            </w:tcBorders>
            <w:shd w:val="clear" w:color="000000" w:fill="FFF2CC"/>
            <w:noWrap/>
            <w:vAlign w:val="center"/>
            <w:hideMark/>
          </w:tcPr>
          <w:p w14:paraId="42CF1E21"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2727" w:type="pct"/>
            <w:vMerge/>
            <w:tcBorders>
              <w:top w:val="single" w:sz="8" w:space="0" w:color="auto"/>
              <w:left w:val="single" w:sz="8" w:space="0" w:color="auto"/>
              <w:bottom w:val="single" w:sz="8" w:space="0" w:color="000000"/>
              <w:right w:val="single" w:sz="8" w:space="0" w:color="auto"/>
            </w:tcBorders>
            <w:vAlign w:val="center"/>
            <w:hideMark/>
          </w:tcPr>
          <w:p w14:paraId="1EC3B859" w14:textId="77777777" w:rsidR="00153F96" w:rsidRPr="00153F96" w:rsidRDefault="00153F96" w:rsidP="00FD4E84">
            <w:pPr>
              <w:spacing w:after="0" w:line="240" w:lineRule="auto"/>
              <w:rPr>
                <w:rFonts w:ascii="Calibri" w:eastAsia="Times New Roman" w:hAnsi="Calibri" w:cs="Calibri"/>
                <w:color w:val="000000"/>
                <w:sz w:val="18"/>
                <w:szCs w:val="18"/>
                <w:lang w:eastAsia="es-ES"/>
              </w:rPr>
            </w:pPr>
          </w:p>
        </w:tc>
      </w:tr>
      <w:tr w:rsidR="00153F96" w:rsidRPr="00153F96" w14:paraId="32073392" w14:textId="77777777" w:rsidTr="00DB25A2">
        <w:trPr>
          <w:trHeight w:val="300"/>
        </w:trPr>
        <w:tc>
          <w:tcPr>
            <w:tcW w:w="426" w:type="pct"/>
            <w:vMerge w:val="restart"/>
            <w:tcBorders>
              <w:top w:val="nil"/>
              <w:left w:val="single" w:sz="8" w:space="0" w:color="auto"/>
              <w:bottom w:val="single" w:sz="4" w:space="0" w:color="auto"/>
              <w:right w:val="single" w:sz="8" w:space="0" w:color="auto"/>
            </w:tcBorders>
            <w:shd w:val="clear" w:color="000000" w:fill="FFF8E5"/>
            <w:vAlign w:val="center"/>
            <w:hideMark/>
          </w:tcPr>
          <w:p w14:paraId="42DEACD1" w14:textId="77777777" w:rsidR="00153F96" w:rsidRPr="007D6CDF" w:rsidRDefault="00153F96" w:rsidP="00153F96">
            <w:pPr>
              <w:spacing w:after="0" w:line="240" w:lineRule="auto"/>
              <w:jc w:val="center"/>
              <w:rPr>
                <w:rFonts w:ascii="Calibri" w:eastAsia="Times New Roman" w:hAnsi="Calibri" w:cs="Calibri"/>
                <w:b/>
                <w:color w:val="000000"/>
                <w:sz w:val="20"/>
                <w:szCs w:val="20"/>
                <w:lang w:eastAsia="es-ES"/>
              </w:rPr>
            </w:pPr>
            <w:r w:rsidRPr="007D6CDF">
              <w:rPr>
                <w:rFonts w:ascii="Calibri" w:eastAsia="Times New Roman" w:hAnsi="Calibri" w:cs="Calibri"/>
                <w:b/>
                <w:color w:val="000000"/>
                <w:sz w:val="20"/>
                <w:szCs w:val="20"/>
                <w:lang w:eastAsia="es-ES"/>
              </w:rPr>
              <w:t>B. Gestión de Cambios en Aplicaciones y Sistemas</w:t>
            </w:r>
          </w:p>
        </w:tc>
        <w:tc>
          <w:tcPr>
            <w:tcW w:w="1253" w:type="pct"/>
            <w:tcBorders>
              <w:top w:val="single" w:sz="8" w:space="0" w:color="auto"/>
              <w:left w:val="single" w:sz="8" w:space="0" w:color="auto"/>
              <w:bottom w:val="single" w:sz="8" w:space="0" w:color="833C0B" w:themeColor="accent2" w:themeShade="80"/>
              <w:right w:val="single" w:sz="8" w:space="0" w:color="auto"/>
            </w:tcBorders>
            <w:shd w:val="clear" w:color="000000" w:fill="FFF8E5"/>
            <w:vAlign w:val="center"/>
            <w:hideMark/>
          </w:tcPr>
          <w:p w14:paraId="73989661" w14:textId="77777777" w:rsidR="00153F96" w:rsidRPr="007D6CDF" w:rsidRDefault="00153F96" w:rsidP="00FD4E84">
            <w:pPr>
              <w:spacing w:after="0" w:line="240" w:lineRule="auto"/>
              <w:ind w:left="289" w:hanging="289"/>
              <w:rPr>
                <w:rFonts w:ascii="Calibri" w:eastAsia="Times New Roman" w:hAnsi="Calibri" w:cs="Calibri"/>
                <w:sz w:val="20"/>
                <w:szCs w:val="20"/>
                <w:lang w:eastAsia="es-ES"/>
              </w:rPr>
            </w:pPr>
            <w:r w:rsidRPr="007D6CDF">
              <w:rPr>
                <w:rFonts w:ascii="Calibri" w:eastAsia="Times New Roman" w:hAnsi="Calibri" w:cs="Calibri"/>
                <w:sz w:val="20"/>
                <w:szCs w:val="20"/>
                <w:lang w:eastAsia="es-ES"/>
              </w:rPr>
              <w:t>B1 Adquisición de Aplicaciones y Sistemas</w:t>
            </w:r>
          </w:p>
        </w:tc>
        <w:tc>
          <w:tcPr>
            <w:tcW w:w="202" w:type="pct"/>
            <w:tcBorders>
              <w:top w:val="single" w:sz="8" w:space="0" w:color="auto"/>
              <w:left w:val="single" w:sz="8" w:space="0" w:color="auto"/>
              <w:bottom w:val="single" w:sz="8" w:space="0" w:color="833C0B" w:themeColor="accent2" w:themeShade="80"/>
              <w:right w:val="single" w:sz="8" w:space="0" w:color="auto"/>
            </w:tcBorders>
            <w:shd w:val="clear" w:color="000000" w:fill="FFF8E5"/>
            <w:noWrap/>
            <w:vAlign w:val="center"/>
            <w:hideMark/>
          </w:tcPr>
          <w:p w14:paraId="3FCDF9E1"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206" w:type="pct"/>
            <w:tcBorders>
              <w:top w:val="single" w:sz="8" w:space="0" w:color="auto"/>
              <w:left w:val="single" w:sz="8" w:space="0" w:color="auto"/>
              <w:bottom w:val="single" w:sz="8" w:space="0" w:color="833C0B" w:themeColor="accent2" w:themeShade="80"/>
              <w:right w:val="single" w:sz="8" w:space="0" w:color="auto"/>
            </w:tcBorders>
            <w:shd w:val="clear" w:color="000000" w:fill="FFF8E5"/>
            <w:noWrap/>
            <w:vAlign w:val="center"/>
            <w:hideMark/>
          </w:tcPr>
          <w:p w14:paraId="5BF80347"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185" w:type="pct"/>
            <w:tcBorders>
              <w:top w:val="single" w:sz="8" w:space="0" w:color="auto"/>
              <w:left w:val="single" w:sz="8" w:space="0" w:color="auto"/>
              <w:bottom w:val="single" w:sz="8" w:space="0" w:color="833C0B" w:themeColor="accent2" w:themeShade="80"/>
              <w:right w:val="single" w:sz="8" w:space="0" w:color="auto"/>
            </w:tcBorders>
            <w:shd w:val="clear" w:color="000000" w:fill="FFF8E5"/>
            <w:noWrap/>
            <w:vAlign w:val="center"/>
            <w:hideMark/>
          </w:tcPr>
          <w:p w14:paraId="54A2B320"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2727" w:type="pct"/>
            <w:vMerge w:val="restart"/>
            <w:tcBorders>
              <w:top w:val="nil"/>
              <w:left w:val="single" w:sz="8" w:space="0" w:color="auto"/>
              <w:bottom w:val="single" w:sz="4" w:space="0" w:color="auto"/>
              <w:right w:val="single" w:sz="8" w:space="0" w:color="auto"/>
            </w:tcBorders>
            <w:shd w:val="clear" w:color="000000" w:fill="FFF8E5"/>
            <w:vAlign w:val="center"/>
            <w:hideMark/>
          </w:tcPr>
          <w:p w14:paraId="00BEC7E4" w14:textId="77777777" w:rsidR="00153F96" w:rsidRPr="00153F96" w:rsidRDefault="00153F96" w:rsidP="00FD4E84">
            <w:pPr>
              <w:spacing w:after="0" w:line="240" w:lineRule="auto"/>
              <w:rPr>
                <w:rFonts w:ascii="Calibri" w:eastAsia="Times New Roman" w:hAnsi="Calibri" w:cs="Calibri"/>
                <w:color w:val="000000"/>
                <w:sz w:val="18"/>
                <w:szCs w:val="18"/>
                <w:lang w:eastAsia="es-ES"/>
              </w:rPr>
            </w:pPr>
            <w:r w:rsidRPr="00153F96">
              <w:rPr>
                <w:rFonts w:ascii="Calibri" w:eastAsia="Times New Roman" w:hAnsi="Calibri" w:cs="Calibri"/>
                <w:color w:val="000000"/>
                <w:sz w:val="18"/>
                <w:szCs w:val="18"/>
                <w:lang w:eastAsia="es-ES"/>
              </w:rPr>
              <w:t>El control B1, al ser un control más estratégico que operativo, aplica igual que en entornos en los que no se utilicen servicios cloud.</w:t>
            </w:r>
          </w:p>
        </w:tc>
      </w:tr>
      <w:tr w:rsidR="00153F96" w:rsidRPr="00153F96" w14:paraId="60A9DFB9" w14:textId="77777777" w:rsidTr="00DB25A2">
        <w:trPr>
          <w:trHeight w:val="300"/>
        </w:trPr>
        <w:tc>
          <w:tcPr>
            <w:tcW w:w="426" w:type="pct"/>
            <w:vMerge/>
            <w:tcBorders>
              <w:top w:val="nil"/>
              <w:left w:val="single" w:sz="8" w:space="0" w:color="auto"/>
              <w:bottom w:val="single" w:sz="4" w:space="0" w:color="auto"/>
              <w:right w:val="single" w:sz="8" w:space="0" w:color="auto"/>
            </w:tcBorders>
            <w:vAlign w:val="center"/>
            <w:hideMark/>
          </w:tcPr>
          <w:p w14:paraId="5952354A" w14:textId="77777777" w:rsidR="00153F96" w:rsidRPr="007D6CDF" w:rsidRDefault="00153F96" w:rsidP="00153F96">
            <w:pPr>
              <w:spacing w:after="0" w:line="240" w:lineRule="auto"/>
              <w:rPr>
                <w:rFonts w:ascii="Calibri" w:eastAsia="Times New Roman" w:hAnsi="Calibri" w:cs="Calibri"/>
                <w:b/>
                <w:color w:val="000000"/>
                <w:sz w:val="20"/>
                <w:szCs w:val="20"/>
                <w:lang w:eastAsia="es-ES"/>
              </w:rPr>
            </w:pPr>
          </w:p>
        </w:tc>
        <w:tc>
          <w:tcPr>
            <w:tcW w:w="1253"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000000" w:fill="FFF8E5"/>
            <w:vAlign w:val="center"/>
            <w:hideMark/>
          </w:tcPr>
          <w:p w14:paraId="41D347A3" w14:textId="77777777" w:rsidR="00153F96" w:rsidRPr="007D6CDF" w:rsidRDefault="00153F96" w:rsidP="00FD4E84">
            <w:pPr>
              <w:spacing w:after="0" w:line="240" w:lineRule="auto"/>
              <w:ind w:left="289" w:hanging="289"/>
              <w:rPr>
                <w:rFonts w:ascii="Calibri" w:eastAsia="Times New Roman" w:hAnsi="Calibri" w:cs="Calibri"/>
                <w:sz w:val="20"/>
                <w:szCs w:val="20"/>
                <w:lang w:eastAsia="es-ES"/>
              </w:rPr>
            </w:pPr>
            <w:r w:rsidRPr="007D6CDF">
              <w:rPr>
                <w:rFonts w:ascii="Calibri" w:eastAsia="Times New Roman" w:hAnsi="Calibri" w:cs="Calibri"/>
                <w:sz w:val="20"/>
                <w:szCs w:val="20"/>
                <w:lang w:eastAsia="es-ES"/>
              </w:rPr>
              <w:t>B2 Desarrollo de Aplicaciones</w:t>
            </w:r>
          </w:p>
        </w:tc>
        <w:tc>
          <w:tcPr>
            <w:tcW w:w="202"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000000" w:fill="FFF8E5"/>
            <w:noWrap/>
            <w:vAlign w:val="center"/>
            <w:hideMark/>
          </w:tcPr>
          <w:p w14:paraId="61702203"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N/A</w:t>
            </w:r>
          </w:p>
        </w:tc>
        <w:tc>
          <w:tcPr>
            <w:tcW w:w="206"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000000" w:fill="FFF8E5"/>
            <w:noWrap/>
            <w:vAlign w:val="center"/>
            <w:hideMark/>
          </w:tcPr>
          <w:p w14:paraId="25D5B937"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185"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000000" w:fill="FFF8E5"/>
            <w:noWrap/>
            <w:vAlign w:val="center"/>
            <w:hideMark/>
          </w:tcPr>
          <w:p w14:paraId="132F2A95"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2727" w:type="pct"/>
            <w:vMerge/>
            <w:tcBorders>
              <w:top w:val="nil"/>
              <w:left w:val="single" w:sz="8" w:space="0" w:color="auto"/>
              <w:bottom w:val="single" w:sz="4" w:space="0" w:color="auto"/>
              <w:right w:val="single" w:sz="8" w:space="0" w:color="auto"/>
            </w:tcBorders>
            <w:vAlign w:val="center"/>
            <w:hideMark/>
          </w:tcPr>
          <w:p w14:paraId="13814111" w14:textId="77777777" w:rsidR="00153F96" w:rsidRPr="00153F96" w:rsidRDefault="00153F96" w:rsidP="00FD4E84">
            <w:pPr>
              <w:spacing w:after="0" w:line="240" w:lineRule="auto"/>
              <w:rPr>
                <w:rFonts w:ascii="Calibri" w:eastAsia="Times New Roman" w:hAnsi="Calibri" w:cs="Calibri"/>
                <w:color w:val="000000"/>
                <w:lang w:eastAsia="es-ES"/>
              </w:rPr>
            </w:pPr>
          </w:p>
        </w:tc>
      </w:tr>
      <w:tr w:rsidR="00153F96" w:rsidRPr="00153F96" w14:paraId="583B47C4" w14:textId="77777777" w:rsidTr="00DB25A2">
        <w:trPr>
          <w:trHeight w:val="315"/>
        </w:trPr>
        <w:tc>
          <w:tcPr>
            <w:tcW w:w="426" w:type="pct"/>
            <w:vMerge/>
            <w:tcBorders>
              <w:top w:val="nil"/>
              <w:left w:val="single" w:sz="8" w:space="0" w:color="auto"/>
              <w:bottom w:val="single" w:sz="4" w:space="0" w:color="auto"/>
              <w:right w:val="single" w:sz="8" w:space="0" w:color="auto"/>
            </w:tcBorders>
            <w:vAlign w:val="center"/>
            <w:hideMark/>
          </w:tcPr>
          <w:p w14:paraId="6FF89F09" w14:textId="77777777" w:rsidR="00153F96" w:rsidRPr="007D6CDF" w:rsidRDefault="00153F96" w:rsidP="00153F96">
            <w:pPr>
              <w:spacing w:after="0" w:line="240" w:lineRule="auto"/>
              <w:rPr>
                <w:rFonts w:ascii="Calibri" w:eastAsia="Times New Roman" w:hAnsi="Calibri" w:cs="Calibri"/>
                <w:b/>
                <w:color w:val="000000"/>
                <w:sz w:val="20"/>
                <w:szCs w:val="20"/>
                <w:lang w:eastAsia="es-ES"/>
              </w:rPr>
            </w:pPr>
          </w:p>
        </w:tc>
        <w:tc>
          <w:tcPr>
            <w:tcW w:w="1253" w:type="pct"/>
            <w:tcBorders>
              <w:top w:val="single" w:sz="8" w:space="0" w:color="833C0B" w:themeColor="accent2" w:themeShade="80"/>
              <w:left w:val="single" w:sz="8" w:space="0" w:color="auto"/>
              <w:bottom w:val="single" w:sz="8" w:space="0" w:color="auto"/>
              <w:right w:val="single" w:sz="8" w:space="0" w:color="auto"/>
            </w:tcBorders>
            <w:shd w:val="clear" w:color="000000" w:fill="FFF8E5"/>
            <w:vAlign w:val="center"/>
            <w:hideMark/>
          </w:tcPr>
          <w:p w14:paraId="2FFA0C83" w14:textId="77777777" w:rsidR="00153F96" w:rsidRPr="007D6CDF" w:rsidRDefault="00153F96" w:rsidP="00FD4E84">
            <w:pPr>
              <w:spacing w:after="0" w:line="240" w:lineRule="auto"/>
              <w:ind w:left="289" w:hanging="289"/>
              <w:rPr>
                <w:rFonts w:ascii="Calibri" w:eastAsia="Times New Roman" w:hAnsi="Calibri" w:cs="Calibri"/>
                <w:sz w:val="20"/>
                <w:szCs w:val="20"/>
                <w:lang w:eastAsia="es-ES"/>
              </w:rPr>
            </w:pPr>
            <w:r w:rsidRPr="007D6CDF">
              <w:rPr>
                <w:rFonts w:ascii="Calibri" w:eastAsia="Times New Roman" w:hAnsi="Calibri" w:cs="Calibri"/>
                <w:sz w:val="20"/>
                <w:szCs w:val="20"/>
                <w:lang w:eastAsia="es-ES"/>
              </w:rPr>
              <w:t>B3 Gestión de Cambios</w:t>
            </w:r>
          </w:p>
        </w:tc>
        <w:tc>
          <w:tcPr>
            <w:tcW w:w="202" w:type="pct"/>
            <w:tcBorders>
              <w:top w:val="single" w:sz="8" w:space="0" w:color="833C0B" w:themeColor="accent2" w:themeShade="80"/>
              <w:left w:val="single" w:sz="8" w:space="0" w:color="auto"/>
              <w:bottom w:val="single" w:sz="8" w:space="0" w:color="auto"/>
              <w:right w:val="single" w:sz="8" w:space="0" w:color="auto"/>
            </w:tcBorders>
            <w:shd w:val="clear" w:color="000000" w:fill="FFF8E5"/>
            <w:noWrap/>
            <w:vAlign w:val="center"/>
            <w:hideMark/>
          </w:tcPr>
          <w:p w14:paraId="26BEDB54"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N/A</w:t>
            </w:r>
          </w:p>
        </w:tc>
        <w:tc>
          <w:tcPr>
            <w:tcW w:w="206" w:type="pct"/>
            <w:tcBorders>
              <w:top w:val="single" w:sz="8" w:space="0" w:color="833C0B" w:themeColor="accent2" w:themeShade="80"/>
              <w:left w:val="single" w:sz="8" w:space="0" w:color="auto"/>
              <w:bottom w:val="single" w:sz="8" w:space="0" w:color="auto"/>
              <w:right w:val="single" w:sz="8" w:space="0" w:color="auto"/>
            </w:tcBorders>
            <w:shd w:val="clear" w:color="000000" w:fill="FFF8E5"/>
            <w:noWrap/>
            <w:vAlign w:val="center"/>
            <w:hideMark/>
          </w:tcPr>
          <w:p w14:paraId="02F0E1E9"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185" w:type="pct"/>
            <w:tcBorders>
              <w:top w:val="single" w:sz="8" w:space="0" w:color="833C0B" w:themeColor="accent2" w:themeShade="80"/>
              <w:left w:val="single" w:sz="8" w:space="0" w:color="auto"/>
              <w:bottom w:val="single" w:sz="8" w:space="0" w:color="auto"/>
              <w:right w:val="single" w:sz="8" w:space="0" w:color="auto"/>
            </w:tcBorders>
            <w:shd w:val="clear" w:color="000000" w:fill="FFF8E5"/>
            <w:noWrap/>
            <w:vAlign w:val="center"/>
            <w:hideMark/>
          </w:tcPr>
          <w:p w14:paraId="6E176A8E"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2727" w:type="pct"/>
            <w:vMerge/>
            <w:tcBorders>
              <w:top w:val="nil"/>
              <w:left w:val="single" w:sz="8" w:space="0" w:color="auto"/>
              <w:bottom w:val="single" w:sz="8" w:space="0" w:color="auto"/>
              <w:right w:val="single" w:sz="8" w:space="0" w:color="auto"/>
            </w:tcBorders>
            <w:vAlign w:val="center"/>
            <w:hideMark/>
          </w:tcPr>
          <w:p w14:paraId="135FAB4C" w14:textId="77777777" w:rsidR="00153F96" w:rsidRPr="00153F96" w:rsidRDefault="00153F96" w:rsidP="00FD4E84">
            <w:pPr>
              <w:spacing w:after="0" w:line="240" w:lineRule="auto"/>
              <w:rPr>
                <w:rFonts w:ascii="Calibri" w:eastAsia="Times New Roman" w:hAnsi="Calibri" w:cs="Calibri"/>
                <w:color w:val="000000"/>
                <w:lang w:eastAsia="es-ES"/>
              </w:rPr>
            </w:pPr>
          </w:p>
        </w:tc>
      </w:tr>
      <w:tr w:rsidR="00153F96" w:rsidRPr="00153F96" w14:paraId="2693884E" w14:textId="77777777" w:rsidTr="00DB25A2">
        <w:trPr>
          <w:trHeight w:val="300"/>
        </w:trPr>
        <w:tc>
          <w:tcPr>
            <w:tcW w:w="426" w:type="pct"/>
            <w:vMerge w:val="restart"/>
            <w:tcBorders>
              <w:top w:val="single" w:sz="8" w:space="0" w:color="auto"/>
              <w:left w:val="single" w:sz="8" w:space="0" w:color="auto"/>
              <w:bottom w:val="single" w:sz="4" w:space="0" w:color="auto"/>
              <w:right w:val="single" w:sz="8" w:space="0" w:color="auto"/>
            </w:tcBorders>
            <w:shd w:val="clear" w:color="auto" w:fill="FFF2CC" w:themeFill="accent4" w:themeFillTint="33"/>
            <w:vAlign w:val="center"/>
            <w:hideMark/>
          </w:tcPr>
          <w:p w14:paraId="753D1D24" w14:textId="77777777" w:rsidR="00153F96" w:rsidRPr="007D6CDF" w:rsidRDefault="00153F96" w:rsidP="00153F96">
            <w:pPr>
              <w:spacing w:after="0" w:line="240" w:lineRule="auto"/>
              <w:jc w:val="center"/>
              <w:rPr>
                <w:rFonts w:ascii="Calibri" w:eastAsia="Times New Roman" w:hAnsi="Calibri" w:cs="Calibri"/>
                <w:b/>
                <w:color w:val="000000"/>
                <w:sz w:val="20"/>
                <w:szCs w:val="20"/>
                <w:lang w:eastAsia="es-ES"/>
              </w:rPr>
            </w:pPr>
            <w:r w:rsidRPr="007D6CDF">
              <w:rPr>
                <w:rFonts w:ascii="Calibri" w:eastAsia="Times New Roman" w:hAnsi="Calibri" w:cs="Calibri"/>
                <w:b/>
                <w:color w:val="000000"/>
                <w:sz w:val="20"/>
                <w:szCs w:val="20"/>
                <w:lang w:eastAsia="es-ES"/>
              </w:rPr>
              <w:t>C. Operaciones de los Sistemas de Información</w:t>
            </w:r>
          </w:p>
        </w:tc>
        <w:tc>
          <w:tcPr>
            <w:tcW w:w="1253" w:type="pct"/>
            <w:tcBorders>
              <w:top w:val="single" w:sz="8" w:space="0" w:color="auto"/>
              <w:left w:val="single" w:sz="8" w:space="0" w:color="auto"/>
              <w:bottom w:val="single" w:sz="8" w:space="0" w:color="833C0B" w:themeColor="accent2" w:themeShade="80"/>
              <w:right w:val="single" w:sz="8" w:space="0" w:color="auto"/>
            </w:tcBorders>
            <w:shd w:val="clear" w:color="auto" w:fill="FFF2CC" w:themeFill="accent4" w:themeFillTint="33"/>
            <w:vAlign w:val="center"/>
            <w:hideMark/>
          </w:tcPr>
          <w:p w14:paraId="4493E058" w14:textId="77777777" w:rsidR="00153F96" w:rsidRPr="007D6CDF" w:rsidRDefault="00153F96" w:rsidP="00FD4E84">
            <w:pPr>
              <w:spacing w:after="0" w:line="240" w:lineRule="auto"/>
              <w:ind w:left="289" w:hanging="289"/>
              <w:rPr>
                <w:rFonts w:ascii="Calibri" w:eastAsia="Times New Roman" w:hAnsi="Calibri" w:cs="Calibri"/>
                <w:sz w:val="20"/>
                <w:szCs w:val="20"/>
                <w:lang w:eastAsia="es-ES"/>
              </w:rPr>
            </w:pPr>
            <w:r w:rsidRPr="007D6CDF">
              <w:rPr>
                <w:rFonts w:ascii="Calibri" w:eastAsia="Times New Roman" w:hAnsi="Calibri" w:cs="Calibri"/>
                <w:sz w:val="20"/>
                <w:szCs w:val="20"/>
                <w:lang w:eastAsia="es-ES"/>
              </w:rPr>
              <w:t>C1 - CBCS 1   Inventario y control de dispositivos físicos</w:t>
            </w:r>
          </w:p>
        </w:tc>
        <w:tc>
          <w:tcPr>
            <w:tcW w:w="202" w:type="pct"/>
            <w:tcBorders>
              <w:top w:val="single" w:sz="8" w:space="0" w:color="auto"/>
              <w:left w:val="single" w:sz="8" w:space="0" w:color="auto"/>
              <w:bottom w:val="single" w:sz="8" w:space="0" w:color="833C0B" w:themeColor="accent2" w:themeShade="80"/>
              <w:right w:val="single" w:sz="8" w:space="0" w:color="auto"/>
            </w:tcBorders>
            <w:shd w:val="clear" w:color="auto" w:fill="FFF2CC" w:themeFill="accent4" w:themeFillTint="33"/>
            <w:noWrap/>
            <w:vAlign w:val="center"/>
            <w:hideMark/>
          </w:tcPr>
          <w:p w14:paraId="781269F4"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N/A</w:t>
            </w:r>
          </w:p>
        </w:tc>
        <w:tc>
          <w:tcPr>
            <w:tcW w:w="206" w:type="pct"/>
            <w:tcBorders>
              <w:top w:val="single" w:sz="8" w:space="0" w:color="auto"/>
              <w:left w:val="single" w:sz="8" w:space="0" w:color="auto"/>
              <w:bottom w:val="single" w:sz="8" w:space="0" w:color="833C0B" w:themeColor="accent2" w:themeShade="80"/>
              <w:right w:val="single" w:sz="8" w:space="0" w:color="auto"/>
            </w:tcBorders>
            <w:shd w:val="clear" w:color="auto" w:fill="FFF2CC" w:themeFill="accent4" w:themeFillTint="33"/>
            <w:noWrap/>
            <w:vAlign w:val="center"/>
            <w:hideMark/>
          </w:tcPr>
          <w:p w14:paraId="7577BB9C"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185" w:type="pct"/>
            <w:tcBorders>
              <w:top w:val="single" w:sz="8" w:space="0" w:color="auto"/>
              <w:left w:val="single" w:sz="8" w:space="0" w:color="auto"/>
              <w:bottom w:val="single" w:sz="8" w:space="0" w:color="833C0B" w:themeColor="accent2" w:themeShade="80"/>
              <w:right w:val="single" w:sz="8" w:space="0" w:color="auto"/>
            </w:tcBorders>
            <w:shd w:val="clear" w:color="auto" w:fill="FFF2CC" w:themeFill="accent4" w:themeFillTint="33"/>
            <w:noWrap/>
            <w:vAlign w:val="center"/>
            <w:hideMark/>
          </w:tcPr>
          <w:p w14:paraId="0D654730"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2727" w:type="pct"/>
            <w:tcBorders>
              <w:top w:val="single" w:sz="8" w:space="0" w:color="auto"/>
              <w:left w:val="single" w:sz="8" w:space="0" w:color="auto"/>
              <w:bottom w:val="single" w:sz="8" w:space="0" w:color="833C0B" w:themeColor="accent2" w:themeShade="80"/>
              <w:right w:val="single" w:sz="4" w:space="0" w:color="auto"/>
            </w:tcBorders>
            <w:shd w:val="clear" w:color="auto" w:fill="FFF2CC" w:themeFill="accent4" w:themeFillTint="33"/>
            <w:vAlign w:val="center"/>
            <w:hideMark/>
          </w:tcPr>
          <w:p w14:paraId="0168A521" w14:textId="77777777" w:rsidR="00153F96" w:rsidRPr="00153F96" w:rsidRDefault="00153F96" w:rsidP="00FD4E84">
            <w:pPr>
              <w:spacing w:after="0" w:line="240" w:lineRule="auto"/>
              <w:rPr>
                <w:rFonts w:ascii="Calibri" w:eastAsia="Times New Roman" w:hAnsi="Calibri" w:cs="Calibri"/>
                <w:color w:val="000000"/>
                <w:lang w:eastAsia="es-ES"/>
              </w:rPr>
            </w:pPr>
            <w:r w:rsidRPr="00153F96">
              <w:rPr>
                <w:rFonts w:ascii="Calibri" w:eastAsia="Times New Roman" w:hAnsi="Calibri" w:cs="Calibri"/>
                <w:color w:val="000000"/>
                <w:lang w:eastAsia="es-ES"/>
              </w:rPr>
              <w:t> </w:t>
            </w:r>
          </w:p>
        </w:tc>
      </w:tr>
      <w:tr w:rsidR="00153F96" w:rsidRPr="00153F96" w14:paraId="1A61B9D0" w14:textId="77777777" w:rsidTr="00DB25A2">
        <w:trPr>
          <w:trHeight w:val="300"/>
        </w:trPr>
        <w:tc>
          <w:tcPr>
            <w:tcW w:w="426" w:type="pct"/>
            <w:vMerge/>
            <w:tcBorders>
              <w:top w:val="single" w:sz="8" w:space="0" w:color="auto"/>
              <w:left w:val="single" w:sz="8" w:space="0" w:color="auto"/>
              <w:bottom w:val="single" w:sz="4" w:space="0" w:color="auto"/>
              <w:right w:val="single" w:sz="8" w:space="0" w:color="auto"/>
            </w:tcBorders>
            <w:shd w:val="clear" w:color="auto" w:fill="FFF2CC" w:themeFill="accent4" w:themeFillTint="33"/>
            <w:vAlign w:val="center"/>
            <w:hideMark/>
          </w:tcPr>
          <w:p w14:paraId="04E0DD5A" w14:textId="77777777" w:rsidR="00153F96" w:rsidRPr="007D6CDF" w:rsidRDefault="00153F96" w:rsidP="00153F96">
            <w:pPr>
              <w:spacing w:after="0" w:line="240" w:lineRule="auto"/>
              <w:rPr>
                <w:rFonts w:ascii="Calibri" w:eastAsia="Times New Roman" w:hAnsi="Calibri" w:cs="Calibri"/>
                <w:b/>
                <w:color w:val="000000"/>
                <w:sz w:val="20"/>
                <w:szCs w:val="20"/>
                <w:lang w:eastAsia="es-ES"/>
              </w:rPr>
            </w:pPr>
          </w:p>
        </w:tc>
        <w:tc>
          <w:tcPr>
            <w:tcW w:w="1253"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auto" w:fill="FFF2CC" w:themeFill="accent4" w:themeFillTint="33"/>
            <w:vAlign w:val="center"/>
            <w:hideMark/>
          </w:tcPr>
          <w:p w14:paraId="41986979" w14:textId="77777777" w:rsidR="00153F96" w:rsidRPr="007D6CDF" w:rsidRDefault="00153F96" w:rsidP="00FD4E84">
            <w:pPr>
              <w:spacing w:after="0" w:line="240" w:lineRule="auto"/>
              <w:ind w:left="289" w:hanging="289"/>
              <w:rPr>
                <w:rFonts w:ascii="Calibri" w:eastAsia="Times New Roman" w:hAnsi="Calibri" w:cs="Calibri"/>
                <w:sz w:val="20"/>
                <w:szCs w:val="20"/>
                <w:lang w:eastAsia="es-ES"/>
              </w:rPr>
            </w:pPr>
            <w:r w:rsidRPr="007D6CDF">
              <w:rPr>
                <w:rFonts w:ascii="Calibri" w:eastAsia="Times New Roman" w:hAnsi="Calibri" w:cs="Calibri"/>
                <w:sz w:val="20"/>
                <w:szCs w:val="20"/>
                <w:lang w:eastAsia="es-ES"/>
              </w:rPr>
              <w:t>C1 - CBCS 2: Inventario y control de software autorizado</w:t>
            </w:r>
          </w:p>
        </w:tc>
        <w:tc>
          <w:tcPr>
            <w:tcW w:w="202"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auto" w:fill="FFF2CC" w:themeFill="accent4" w:themeFillTint="33"/>
            <w:noWrap/>
            <w:vAlign w:val="center"/>
            <w:hideMark/>
          </w:tcPr>
          <w:p w14:paraId="0F1329C1"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206"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auto" w:fill="FFF2CC" w:themeFill="accent4" w:themeFillTint="33"/>
            <w:noWrap/>
            <w:vAlign w:val="center"/>
            <w:hideMark/>
          </w:tcPr>
          <w:p w14:paraId="6D35845D"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185"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auto" w:fill="FFF2CC" w:themeFill="accent4" w:themeFillTint="33"/>
            <w:noWrap/>
            <w:vAlign w:val="center"/>
            <w:hideMark/>
          </w:tcPr>
          <w:p w14:paraId="3923C6EB"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2727" w:type="pct"/>
            <w:tcBorders>
              <w:top w:val="single" w:sz="8" w:space="0" w:color="833C0B" w:themeColor="accent2" w:themeShade="80"/>
              <w:left w:val="single" w:sz="8" w:space="0" w:color="auto"/>
              <w:bottom w:val="single" w:sz="8" w:space="0" w:color="833C0B" w:themeColor="accent2" w:themeShade="80"/>
              <w:right w:val="single" w:sz="4" w:space="0" w:color="auto"/>
            </w:tcBorders>
            <w:shd w:val="clear" w:color="auto" w:fill="FFF2CC" w:themeFill="accent4" w:themeFillTint="33"/>
            <w:vAlign w:val="center"/>
            <w:hideMark/>
          </w:tcPr>
          <w:p w14:paraId="2C92E4D6" w14:textId="77777777" w:rsidR="00153F96" w:rsidRPr="00153F96" w:rsidRDefault="00153F96" w:rsidP="00FD4E84">
            <w:pPr>
              <w:spacing w:after="0" w:line="240" w:lineRule="auto"/>
              <w:rPr>
                <w:rFonts w:ascii="Calibri" w:eastAsia="Times New Roman" w:hAnsi="Calibri" w:cs="Calibri"/>
                <w:color w:val="000000"/>
                <w:lang w:eastAsia="es-ES"/>
              </w:rPr>
            </w:pPr>
            <w:r w:rsidRPr="00153F96">
              <w:rPr>
                <w:rFonts w:ascii="Calibri" w:eastAsia="Times New Roman" w:hAnsi="Calibri" w:cs="Calibri"/>
                <w:color w:val="000000"/>
                <w:lang w:eastAsia="es-ES"/>
              </w:rPr>
              <w:t> </w:t>
            </w:r>
          </w:p>
        </w:tc>
      </w:tr>
      <w:tr w:rsidR="00153F96" w:rsidRPr="00153F96" w14:paraId="41DCDC8D" w14:textId="77777777" w:rsidTr="00DB25A2">
        <w:trPr>
          <w:trHeight w:val="600"/>
        </w:trPr>
        <w:tc>
          <w:tcPr>
            <w:tcW w:w="426" w:type="pct"/>
            <w:vMerge/>
            <w:tcBorders>
              <w:top w:val="single" w:sz="8" w:space="0" w:color="auto"/>
              <w:left w:val="single" w:sz="8" w:space="0" w:color="auto"/>
              <w:bottom w:val="single" w:sz="4" w:space="0" w:color="auto"/>
              <w:right w:val="single" w:sz="8" w:space="0" w:color="auto"/>
            </w:tcBorders>
            <w:shd w:val="clear" w:color="auto" w:fill="FFF2CC" w:themeFill="accent4" w:themeFillTint="33"/>
            <w:vAlign w:val="center"/>
            <w:hideMark/>
          </w:tcPr>
          <w:p w14:paraId="322232C3" w14:textId="77777777" w:rsidR="00153F96" w:rsidRPr="007D6CDF" w:rsidRDefault="00153F96" w:rsidP="00153F96">
            <w:pPr>
              <w:spacing w:after="0" w:line="240" w:lineRule="auto"/>
              <w:rPr>
                <w:rFonts w:ascii="Calibri" w:eastAsia="Times New Roman" w:hAnsi="Calibri" w:cs="Calibri"/>
                <w:b/>
                <w:color w:val="000000"/>
                <w:sz w:val="20"/>
                <w:szCs w:val="20"/>
                <w:lang w:eastAsia="es-ES"/>
              </w:rPr>
            </w:pPr>
          </w:p>
        </w:tc>
        <w:tc>
          <w:tcPr>
            <w:tcW w:w="1253"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auto" w:fill="FFF2CC" w:themeFill="accent4" w:themeFillTint="33"/>
            <w:vAlign w:val="center"/>
            <w:hideMark/>
          </w:tcPr>
          <w:p w14:paraId="65022047" w14:textId="77777777" w:rsidR="00153F96" w:rsidRPr="007D6CDF" w:rsidRDefault="00153F96" w:rsidP="00FD4E84">
            <w:pPr>
              <w:spacing w:after="0" w:line="240" w:lineRule="auto"/>
              <w:ind w:left="289" w:hanging="289"/>
              <w:rPr>
                <w:rFonts w:ascii="Calibri" w:eastAsia="Times New Roman" w:hAnsi="Calibri" w:cs="Calibri"/>
                <w:sz w:val="20"/>
                <w:szCs w:val="20"/>
                <w:lang w:eastAsia="es-ES"/>
              </w:rPr>
            </w:pPr>
            <w:r w:rsidRPr="007D6CDF">
              <w:rPr>
                <w:rFonts w:ascii="Calibri" w:eastAsia="Times New Roman" w:hAnsi="Calibri" w:cs="Calibri"/>
                <w:sz w:val="20"/>
                <w:szCs w:val="20"/>
                <w:lang w:eastAsia="es-ES"/>
              </w:rPr>
              <w:t>C2 - CBCS 3   Proceso continuo de identificación y remediación de vulnerabilidades</w:t>
            </w:r>
          </w:p>
        </w:tc>
        <w:tc>
          <w:tcPr>
            <w:tcW w:w="202"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auto" w:fill="FFF2CC" w:themeFill="accent4" w:themeFillTint="33"/>
            <w:noWrap/>
            <w:vAlign w:val="center"/>
            <w:hideMark/>
          </w:tcPr>
          <w:p w14:paraId="1D9D41E6"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N/A</w:t>
            </w:r>
          </w:p>
        </w:tc>
        <w:tc>
          <w:tcPr>
            <w:tcW w:w="206"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auto" w:fill="FFF2CC" w:themeFill="accent4" w:themeFillTint="33"/>
            <w:noWrap/>
            <w:vAlign w:val="center"/>
            <w:hideMark/>
          </w:tcPr>
          <w:p w14:paraId="34F5E2EE"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185"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auto" w:fill="FFF2CC" w:themeFill="accent4" w:themeFillTint="33"/>
            <w:noWrap/>
            <w:vAlign w:val="center"/>
            <w:hideMark/>
          </w:tcPr>
          <w:p w14:paraId="580F9E26"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2727" w:type="pct"/>
            <w:tcBorders>
              <w:top w:val="single" w:sz="8" w:space="0" w:color="833C0B" w:themeColor="accent2" w:themeShade="80"/>
              <w:left w:val="single" w:sz="8" w:space="0" w:color="auto"/>
              <w:bottom w:val="single" w:sz="8" w:space="0" w:color="833C0B" w:themeColor="accent2" w:themeShade="80"/>
              <w:right w:val="single" w:sz="4" w:space="0" w:color="auto"/>
            </w:tcBorders>
            <w:shd w:val="clear" w:color="auto" w:fill="FFF2CC" w:themeFill="accent4" w:themeFillTint="33"/>
            <w:vAlign w:val="center"/>
            <w:hideMark/>
          </w:tcPr>
          <w:p w14:paraId="6A3301E7" w14:textId="77777777" w:rsidR="00153F96" w:rsidRPr="00153F96" w:rsidRDefault="00153F96" w:rsidP="00FD4E84">
            <w:pPr>
              <w:spacing w:after="0" w:line="240" w:lineRule="auto"/>
              <w:rPr>
                <w:rFonts w:ascii="Calibri" w:eastAsia="Times New Roman" w:hAnsi="Calibri" w:cs="Calibri"/>
                <w:color w:val="000000"/>
                <w:sz w:val="18"/>
                <w:szCs w:val="18"/>
                <w:lang w:eastAsia="es-ES"/>
              </w:rPr>
            </w:pPr>
            <w:r w:rsidRPr="00153F96">
              <w:rPr>
                <w:rFonts w:ascii="Calibri" w:eastAsia="Times New Roman" w:hAnsi="Calibri" w:cs="Calibri"/>
                <w:color w:val="000000"/>
                <w:sz w:val="18"/>
                <w:szCs w:val="18"/>
                <w:lang w:eastAsia="es-ES"/>
              </w:rPr>
              <w:t>En modo IaaS, la gestión de vulnerabilidades incluirá todos los componentes de la infraestructura salvo los específicos del HW. En modo PaaS, la entidad auditada será responsable de la gestión de vulnerabilidades del SW que instale en la plataforma proporcionada por el CSP.</w:t>
            </w:r>
          </w:p>
        </w:tc>
      </w:tr>
      <w:tr w:rsidR="00153F96" w:rsidRPr="00153F96" w14:paraId="465A2937" w14:textId="77777777" w:rsidTr="00DB25A2">
        <w:trPr>
          <w:trHeight w:val="600"/>
        </w:trPr>
        <w:tc>
          <w:tcPr>
            <w:tcW w:w="426" w:type="pct"/>
            <w:vMerge/>
            <w:tcBorders>
              <w:top w:val="single" w:sz="8" w:space="0" w:color="auto"/>
              <w:left w:val="single" w:sz="8" w:space="0" w:color="auto"/>
              <w:bottom w:val="single" w:sz="4" w:space="0" w:color="auto"/>
              <w:right w:val="single" w:sz="8" w:space="0" w:color="auto"/>
            </w:tcBorders>
            <w:shd w:val="clear" w:color="auto" w:fill="FFF2CC" w:themeFill="accent4" w:themeFillTint="33"/>
            <w:vAlign w:val="center"/>
            <w:hideMark/>
          </w:tcPr>
          <w:p w14:paraId="5105DAB3" w14:textId="77777777" w:rsidR="00153F96" w:rsidRPr="007D6CDF" w:rsidRDefault="00153F96" w:rsidP="00153F96">
            <w:pPr>
              <w:spacing w:after="0" w:line="240" w:lineRule="auto"/>
              <w:rPr>
                <w:rFonts w:ascii="Calibri" w:eastAsia="Times New Roman" w:hAnsi="Calibri" w:cs="Calibri"/>
                <w:b/>
                <w:color w:val="000000"/>
                <w:sz w:val="20"/>
                <w:szCs w:val="20"/>
                <w:lang w:eastAsia="es-ES"/>
              </w:rPr>
            </w:pPr>
          </w:p>
        </w:tc>
        <w:tc>
          <w:tcPr>
            <w:tcW w:w="1253"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auto" w:fill="FFF2CC" w:themeFill="accent4" w:themeFillTint="33"/>
            <w:vAlign w:val="center"/>
            <w:hideMark/>
          </w:tcPr>
          <w:p w14:paraId="68A3D7D2" w14:textId="77777777" w:rsidR="00153F96" w:rsidRPr="007D6CDF" w:rsidRDefault="00153F96" w:rsidP="00FD4E84">
            <w:pPr>
              <w:spacing w:after="0" w:line="240" w:lineRule="auto"/>
              <w:ind w:left="289" w:hanging="289"/>
              <w:rPr>
                <w:rFonts w:ascii="Calibri" w:eastAsia="Times New Roman" w:hAnsi="Calibri" w:cs="Calibri"/>
                <w:sz w:val="20"/>
                <w:szCs w:val="20"/>
                <w:lang w:eastAsia="es-ES"/>
              </w:rPr>
            </w:pPr>
            <w:r w:rsidRPr="007D6CDF">
              <w:rPr>
                <w:rFonts w:ascii="Calibri" w:eastAsia="Times New Roman" w:hAnsi="Calibri" w:cs="Calibri"/>
                <w:sz w:val="20"/>
                <w:szCs w:val="20"/>
                <w:lang w:eastAsia="es-ES"/>
              </w:rPr>
              <w:t>C3 - CBCS 5  Configuraciones seguras del software y hardware</w:t>
            </w:r>
          </w:p>
        </w:tc>
        <w:tc>
          <w:tcPr>
            <w:tcW w:w="202"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auto" w:fill="FFF2CC" w:themeFill="accent4" w:themeFillTint="33"/>
            <w:noWrap/>
            <w:vAlign w:val="center"/>
            <w:hideMark/>
          </w:tcPr>
          <w:p w14:paraId="709B8879"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N/A</w:t>
            </w:r>
          </w:p>
        </w:tc>
        <w:tc>
          <w:tcPr>
            <w:tcW w:w="206"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auto" w:fill="FFF2CC" w:themeFill="accent4" w:themeFillTint="33"/>
            <w:noWrap/>
            <w:vAlign w:val="center"/>
            <w:hideMark/>
          </w:tcPr>
          <w:p w14:paraId="19CF8D75"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185"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auto" w:fill="FFF2CC" w:themeFill="accent4" w:themeFillTint="33"/>
            <w:noWrap/>
            <w:vAlign w:val="center"/>
            <w:hideMark/>
          </w:tcPr>
          <w:p w14:paraId="4A7292F3"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2727" w:type="pct"/>
            <w:tcBorders>
              <w:top w:val="single" w:sz="8" w:space="0" w:color="833C0B" w:themeColor="accent2" w:themeShade="80"/>
              <w:left w:val="single" w:sz="8" w:space="0" w:color="auto"/>
              <w:bottom w:val="single" w:sz="8" w:space="0" w:color="833C0B" w:themeColor="accent2" w:themeShade="80"/>
              <w:right w:val="single" w:sz="4" w:space="0" w:color="auto"/>
            </w:tcBorders>
            <w:shd w:val="clear" w:color="auto" w:fill="FFF2CC" w:themeFill="accent4" w:themeFillTint="33"/>
            <w:vAlign w:val="center"/>
            <w:hideMark/>
          </w:tcPr>
          <w:p w14:paraId="287C5F20" w14:textId="51D03414" w:rsidR="00153F96" w:rsidRPr="00153F96" w:rsidRDefault="00153F96" w:rsidP="00FD4E84">
            <w:pPr>
              <w:spacing w:after="0" w:line="240" w:lineRule="auto"/>
              <w:rPr>
                <w:rFonts w:ascii="Calibri" w:eastAsia="Times New Roman" w:hAnsi="Calibri" w:cs="Calibri"/>
                <w:color w:val="000000"/>
                <w:sz w:val="18"/>
                <w:szCs w:val="18"/>
                <w:lang w:eastAsia="es-ES"/>
              </w:rPr>
            </w:pPr>
            <w:r w:rsidRPr="00153F96">
              <w:rPr>
                <w:rFonts w:ascii="Calibri" w:eastAsia="Times New Roman" w:hAnsi="Calibri" w:cs="Calibri"/>
                <w:color w:val="000000"/>
                <w:sz w:val="18"/>
                <w:szCs w:val="18"/>
                <w:lang w:eastAsia="es-ES"/>
              </w:rPr>
              <w:t>En modo IaaS, el proporcionar una configuración segura de la plataforma es responsabilidad del CSP (no la revisaremos) pero el configurar el SW</w:t>
            </w:r>
            <w:r w:rsidR="00913694">
              <w:rPr>
                <w:rFonts w:ascii="Calibri" w:eastAsia="Times New Roman" w:hAnsi="Calibri" w:cs="Calibri"/>
                <w:color w:val="000000"/>
                <w:sz w:val="18"/>
                <w:szCs w:val="18"/>
                <w:lang w:eastAsia="es-ES"/>
              </w:rPr>
              <w:t xml:space="preserve"> </w:t>
            </w:r>
            <w:r w:rsidR="00913694" w:rsidRPr="00153F96">
              <w:rPr>
                <w:rFonts w:ascii="Calibri" w:eastAsia="Times New Roman" w:hAnsi="Calibri" w:cs="Calibri"/>
                <w:color w:val="000000"/>
                <w:sz w:val="18"/>
                <w:szCs w:val="18"/>
                <w:lang w:eastAsia="es-ES"/>
              </w:rPr>
              <w:t xml:space="preserve">de forma segura </w:t>
            </w:r>
            <w:r w:rsidR="00913694">
              <w:rPr>
                <w:rFonts w:ascii="Calibri" w:eastAsia="Times New Roman" w:hAnsi="Calibri" w:cs="Calibri"/>
                <w:color w:val="000000"/>
                <w:sz w:val="18"/>
                <w:szCs w:val="18"/>
                <w:lang w:eastAsia="es-ES"/>
              </w:rPr>
              <w:t xml:space="preserve">(tanto de aplicaciones como ciertas características del sistema operativo, bases de datos y otro middleware) </w:t>
            </w:r>
            <w:r w:rsidRPr="00153F96">
              <w:rPr>
                <w:rFonts w:ascii="Calibri" w:eastAsia="Times New Roman" w:hAnsi="Calibri" w:cs="Calibri"/>
                <w:color w:val="000000"/>
                <w:sz w:val="18"/>
                <w:szCs w:val="18"/>
                <w:lang w:eastAsia="es-ES"/>
              </w:rPr>
              <w:t>sí se revisará, pues depende del ente audita</w:t>
            </w:r>
            <w:r w:rsidR="00913694">
              <w:rPr>
                <w:rFonts w:ascii="Calibri" w:eastAsia="Times New Roman" w:hAnsi="Calibri" w:cs="Calibri"/>
                <w:color w:val="000000"/>
                <w:sz w:val="18"/>
                <w:szCs w:val="18"/>
                <w:lang w:eastAsia="es-ES"/>
              </w:rPr>
              <w:t>d</w:t>
            </w:r>
            <w:r w:rsidRPr="00153F96">
              <w:rPr>
                <w:rFonts w:ascii="Calibri" w:eastAsia="Times New Roman" w:hAnsi="Calibri" w:cs="Calibri"/>
                <w:color w:val="000000"/>
                <w:sz w:val="18"/>
                <w:szCs w:val="18"/>
                <w:lang w:eastAsia="es-ES"/>
              </w:rPr>
              <w:t>o.</w:t>
            </w:r>
          </w:p>
        </w:tc>
      </w:tr>
      <w:tr w:rsidR="00153F96" w:rsidRPr="00153F96" w14:paraId="318799CE" w14:textId="77777777" w:rsidTr="00DB25A2">
        <w:trPr>
          <w:trHeight w:val="900"/>
        </w:trPr>
        <w:tc>
          <w:tcPr>
            <w:tcW w:w="426" w:type="pct"/>
            <w:vMerge/>
            <w:tcBorders>
              <w:top w:val="single" w:sz="8" w:space="0" w:color="auto"/>
              <w:left w:val="single" w:sz="8" w:space="0" w:color="auto"/>
              <w:bottom w:val="single" w:sz="4" w:space="0" w:color="auto"/>
              <w:right w:val="single" w:sz="8" w:space="0" w:color="auto"/>
            </w:tcBorders>
            <w:shd w:val="clear" w:color="auto" w:fill="FFF2CC" w:themeFill="accent4" w:themeFillTint="33"/>
            <w:vAlign w:val="center"/>
            <w:hideMark/>
          </w:tcPr>
          <w:p w14:paraId="0BEBED9D" w14:textId="77777777" w:rsidR="00153F96" w:rsidRPr="007D6CDF" w:rsidRDefault="00153F96" w:rsidP="00153F96">
            <w:pPr>
              <w:spacing w:after="0" w:line="240" w:lineRule="auto"/>
              <w:rPr>
                <w:rFonts w:ascii="Calibri" w:eastAsia="Times New Roman" w:hAnsi="Calibri" w:cs="Calibri"/>
                <w:b/>
                <w:color w:val="000000"/>
                <w:sz w:val="20"/>
                <w:szCs w:val="20"/>
                <w:lang w:eastAsia="es-ES"/>
              </w:rPr>
            </w:pPr>
          </w:p>
        </w:tc>
        <w:tc>
          <w:tcPr>
            <w:tcW w:w="1253"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auto" w:fill="FFF2CC" w:themeFill="accent4" w:themeFillTint="33"/>
            <w:vAlign w:val="center"/>
            <w:hideMark/>
          </w:tcPr>
          <w:p w14:paraId="75075036" w14:textId="77777777" w:rsidR="00153F96" w:rsidRPr="007D6CDF" w:rsidRDefault="00153F96" w:rsidP="00FD4E84">
            <w:pPr>
              <w:spacing w:after="0" w:line="240" w:lineRule="auto"/>
              <w:ind w:left="289" w:hanging="289"/>
              <w:rPr>
                <w:rFonts w:ascii="Calibri" w:eastAsia="Times New Roman" w:hAnsi="Calibri" w:cs="Calibri"/>
                <w:sz w:val="20"/>
                <w:szCs w:val="20"/>
                <w:lang w:eastAsia="es-ES"/>
              </w:rPr>
            </w:pPr>
            <w:r w:rsidRPr="007D6CDF">
              <w:rPr>
                <w:rFonts w:ascii="Calibri" w:eastAsia="Times New Roman" w:hAnsi="Calibri" w:cs="Calibri"/>
                <w:sz w:val="20"/>
                <w:szCs w:val="20"/>
                <w:lang w:eastAsia="es-ES"/>
              </w:rPr>
              <w:t>C4 - CBCS 6   Registro de la actividad de los usuarios</w:t>
            </w:r>
          </w:p>
        </w:tc>
        <w:tc>
          <w:tcPr>
            <w:tcW w:w="202"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auto" w:fill="FFF2CC" w:themeFill="accent4" w:themeFillTint="33"/>
            <w:noWrap/>
            <w:vAlign w:val="center"/>
            <w:hideMark/>
          </w:tcPr>
          <w:p w14:paraId="349D1FF4"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206"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auto" w:fill="FFF2CC" w:themeFill="accent4" w:themeFillTint="33"/>
            <w:noWrap/>
            <w:vAlign w:val="center"/>
            <w:hideMark/>
          </w:tcPr>
          <w:p w14:paraId="0ADFA2B2"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185"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auto" w:fill="FFF2CC" w:themeFill="accent4" w:themeFillTint="33"/>
            <w:noWrap/>
            <w:vAlign w:val="center"/>
            <w:hideMark/>
          </w:tcPr>
          <w:p w14:paraId="40712BFB"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2727" w:type="pct"/>
            <w:tcBorders>
              <w:top w:val="single" w:sz="8" w:space="0" w:color="833C0B" w:themeColor="accent2" w:themeShade="80"/>
              <w:left w:val="single" w:sz="8" w:space="0" w:color="auto"/>
              <w:bottom w:val="single" w:sz="8" w:space="0" w:color="833C0B" w:themeColor="accent2" w:themeShade="80"/>
              <w:right w:val="single" w:sz="4" w:space="0" w:color="auto"/>
            </w:tcBorders>
            <w:shd w:val="clear" w:color="auto" w:fill="FFF2CC" w:themeFill="accent4" w:themeFillTint="33"/>
            <w:vAlign w:val="center"/>
            <w:hideMark/>
          </w:tcPr>
          <w:p w14:paraId="50B10131" w14:textId="77777777" w:rsidR="00153F96" w:rsidRPr="00153F96" w:rsidRDefault="00153F96" w:rsidP="00FD4E84">
            <w:pPr>
              <w:spacing w:after="0" w:line="240" w:lineRule="auto"/>
              <w:rPr>
                <w:rFonts w:ascii="Calibri" w:eastAsia="Times New Roman" w:hAnsi="Calibri" w:cs="Calibri"/>
                <w:color w:val="000000"/>
                <w:sz w:val="18"/>
                <w:szCs w:val="18"/>
                <w:lang w:eastAsia="es-ES"/>
              </w:rPr>
            </w:pPr>
            <w:r w:rsidRPr="00153F96">
              <w:rPr>
                <w:rFonts w:ascii="Calibri" w:eastAsia="Times New Roman" w:hAnsi="Calibri" w:cs="Calibri"/>
                <w:color w:val="000000"/>
                <w:sz w:val="18"/>
                <w:szCs w:val="18"/>
                <w:lang w:eastAsia="es-ES"/>
              </w:rPr>
              <w:t>Aplica en todos los casos, pero con diferentes niveles de profundidad. En SaaS el ente auditado sólo será responsable de la gestión de los logs de actividad de los usuarios dentro de la aplicación, en PaaS se incluirá toda la gestión de los logs de todos los componentes que el cliente instale en la plataforma contratada al CSP e IaaS incluirá la gestión de los logs de todos los componentes (salvo los elementos de comunicaciones que facilite el CSP para dar conectividad a la infraestructura).</w:t>
            </w:r>
          </w:p>
        </w:tc>
      </w:tr>
      <w:tr w:rsidR="00153F96" w:rsidRPr="00153F96" w14:paraId="0536025A" w14:textId="77777777" w:rsidTr="00DB25A2">
        <w:trPr>
          <w:trHeight w:val="600"/>
        </w:trPr>
        <w:tc>
          <w:tcPr>
            <w:tcW w:w="426" w:type="pct"/>
            <w:vMerge/>
            <w:tcBorders>
              <w:top w:val="single" w:sz="8" w:space="0" w:color="auto"/>
              <w:left w:val="single" w:sz="8" w:space="0" w:color="auto"/>
              <w:bottom w:val="single" w:sz="4" w:space="0" w:color="auto"/>
              <w:right w:val="single" w:sz="8" w:space="0" w:color="auto"/>
            </w:tcBorders>
            <w:shd w:val="clear" w:color="auto" w:fill="FFF2CC" w:themeFill="accent4" w:themeFillTint="33"/>
            <w:vAlign w:val="center"/>
            <w:hideMark/>
          </w:tcPr>
          <w:p w14:paraId="3A2447FB" w14:textId="77777777" w:rsidR="00153F96" w:rsidRPr="007D6CDF" w:rsidRDefault="00153F96" w:rsidP="00153F96">
            <w:pPr>
              <w:spacing w:after="0" w:line="240" w:lineRule="auto"/>
              <w:rPr>
                <w:rFonts w:ascii="Calibri" w:eastAsia="Times New Roman" w:hAnsi="Calibri" w:cs="Calibri"/>
                <w:b/>
                <w:color w:val="000000"/>
                <w:sz w:val="20"/>
                <w:szCs w:val="20"/>
                <w:lang w:eastAsia="es-ES"/>
              </w:rPr>
            </w:pPr>
          </w:p>
        </w:tc>
        <w:tc>
          <w:tcPr>
            <w:tcW w:w="1253"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auto" w:fill="FFF2CC" w:themeFill="accent4" w:themeFillTint="33"/>
            <w:vAlign w:val="center"/>
            <w:hideMark/>
          </w:tcPr>
          <w:p w14:paraId="1CEA415A" w14:textId="77777777" w:rsidR="00153F96" w:rsidRPr="007D6CDF" w:rsidRDefault="00153F96" w:rsidP="00FD4E84">
            <w:pPr>
              <w:spacing w:after="0" w:line="240" w:lineRule="auto"/>
              <w:ind w:left="289" w:hanging="289"/>
              <w:rPr>
                <w:rFonts w:ascii="Calibri" w:eastAsia="Times New Roman" w:hAnsi="Calibri" w:cs="Calibri"/>
                <w:b/>
                <w:sz w:val="20"/>
                <w:szCs w:val="20"/>
                <w:lang w:eastAsia="es-ES"/>
              </w:rPr>
            </w:pPr>
            <w:r w:rsidRPr="007D6CDF">
              <w:rPr>
                <w:rFonts w:ascii="Calibri" w:eastAsia="Times New Roman" w:hAnsi="Calibri" w:cs="Calibri"/>
                <w:b/>
                <w:sz w:val="20"/>
                <w:szCs w:val="20"/>
                <w:lang w:eastAsia="es-ES"/>
              </w:rPr>
              <w:t>C5 Servicios Externos</w:t>
            </w:r>
          </w:p>
        </w:tc>
        <w:tc>
          <w:tcPr>
            <w:tcW w:w="202"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auto" w:fill="FFF2CC" w:themeFill="accent4" w:themeFillTint="33"/>
            <w:noWrap/>
            <w:vAlign w:val="center"/>
            <w:hideMark/>
          </w:tcPr>
          <w:p w14:paraId="61D9D304" w14:textId="77777777" w:rsidR="00153F96" w:rsidRPr="007D6CDF" w:rsidRDefault="00153F96" w:rsidP="00153F96">
            <w:pPr>
              <w:spacing w:after="0" w:line="240" w:lineRule="auto"/>
              <w:jc w:val="center"/>
              <w:rPr>
                <w:rFonts w:ascii="Calibri" w:eastAsia="Times New Roman" w:hAnsi="Calibri" w:cs="Calibri"/>
                <w:b/>
                <w:color w:val="000000"/>
                <w:sz w:val="20"/>
                <w:szCs w:val="20"/>
                <w:lang w:eastAsia="es-ES"/>
              </w:rPr>
            </w:pPr>
            <w:r w:rsidRPr="007D6CDF">
              <w:rPr>
                <w:rFonts w:ascii="Calibri" w:eastAsia="Times New Roman" w:hAnsi="Calibri" w:cs="Calibri"/>
                <w:b/>
                <w:color w:val="000000"/>
                <w:sz w:val="20"/>
                <w:szCs w:val="20"/>
                <w:lang w:eastAsia="es-ES"/>
              </w:rPr>
              <w:t>x</w:t>
            </w:r>
          </w:p>
        </w:tc>
        <w:tc>
          <w:tcPr>
            <w:tcW w:w="206"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auto" w:fill="FFF2CC" w:themeFill="accent4" w:themeFillTint="33"/>
            <w:noWrap/>
            <w:vAlign w:val="center"/>
            <w:hideMark/>
          </w:tcPr>
          <w:p w14:paraId="7C811891" w14:textId="77777777" w:rsidR="00153F96" w:rsidRPr="007D6CDF" w:rsidRDefault="00153F96" w:rsidP="00153F96">
            <w:pPr>
              <w:spacing w:after="0" w:line="240" w:lineRule="auto"/>
              <w:jc w:val="center"/>
              <w:rPr>
                <w:rFonts w:ascii="Calibri" w:eastAsia="Times New Roman" w:hAnsi="Calibri" w:cs="Calibri"/>
                <w:b/>
                <w:color w:val="000000"/>
                <w:sz w:val="20"/>
                <w:szCs w:val="20"/>
                <w:lang w:eastAsia="es-ES"/>
              </w:rPr>
            </w:pPr>
            <w:r w:rsidRPr="007D6CDF">
              <w:rPr>
                <w:rFonts w:ascii="Calibri" w:eastAsia="Times New Roman" w:hAnsi="Calibri" w:cs="Calibri"/>
                <w:b/>
                <w:color w:val="000000"/>
                <w:sz w:val="20"/>
                <w:szCs w:val="20"/>
                <w:lang w:eastAsia="es-ES"/>
              </w:rPr>
              <w:t>x</w:t>
            </w:r>
          </w:p>
        </w:tc>
        <w:tc>
          <w:tcPr>
            <w:tcW w:w="185"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auto" w:fill="FFF2CC" w:themeFill="accent4" w:themeFillTint="33"/>
            <w:noWrap/>
            <w:vAlign w:val="center"/>
            <w:hideMark/>
          </w:tcPr>
          <w:p w14:paraId="7F9863E4" w14:textId="77777777" w:rsidR="00153F96" w:rsidRPr="007D6CDF" w:rsidRDefault="00153F96" w:rsidP="00153F96">
            <w:pPr>
              <w:spacing w:after="0" w:line="240" w:lineRule="auto"/>
              <w:jc w:val="center"/>
              <w:rPr>
                <w:rFonts w:ascii="Calibri" w:eastAsia="Times New Roman" w:hAnsi="Calibri" w:cs="Calibri"/>
                <w:b/>
                <w:color w:val="000000"/>
                <w:sz w:val="20"/>
                <w:szCs w:val="20"/>
                <w:lang w:eastAsia="es-ES"/>
              </w:rPr>
            </w:pPr>
            <w:r w:rsidRPr="007D6CDF">
              <w:rPr>
                <w:rFonts w:ascii="Calibri" w:eastAsia="Times New Roman" w:hAnsi="Calibri" w:cs="Calibri"/>
                <w:b/>
                <w:color w:val="000000"/>
                <w:sz w:val="20"/>
                <w:szCs w:val="20"/>
                <w:lang w:eastAsia="es-ES"/>
              </w:rPr>
              <w:t>x</w:t>
            </w:r>
          </w:p>
        </w:tc>
        <w:tc>
          <w:tcPr>
            <w:tcW w:w="2727" w:type="pct"/>
            <w:tcBorders>
              <w:top w:val="single" w:sz="8" w:space="0" w:color="833C0B" w:themeColor="accent2" w:themeShade="80"/>
              <w:left w:val="single" w:sz="8" w:space="0" w:color="auto"/>
              <w:bottom w:val="single" w:sz="8" w:space="0" w:color="833C0B" w:themeColor="accent2" w:themeShade="80"/>
              <w:right w:val="single" w:sz="4" w:space="0" w:color="auto"/>
            </w:tcBorders>
            <w:shd w:val="clear" w:color="auto" w:fill="FFF2CC" w:themeFill="accent4" w:themeFillTint="33"/>
            <w:vAlign w:val="center"/>
            <w:hideMark/>
          </w:tcPr>
          <w:p w14:paraId="143D0D5A" w14:textId="77777777" w:rsidR="00153F96" w:rsidRPr="00153F96" w:rsidRDefault="00153F96" w:rsidP="00FD4E84">
            <w:pPr>
              <w:spacing w:after="0" w:line="240" w:lineRule="auto"/>
              <w:rPr>
                <w:rFonts w:ascii="Calibri" w:eastAsia="Times New Roman" w:hAnsi="Calibri" w:cs="Calibri"/>
                <w:b/>
                <w:color w:val="000000"/>
                <w:sz w:val="18"/>
                <w:szCs w:val="18"/>
                <w:lang w:eastAsia="es-ES"/>
              </w:rPr>
            </w:pPr>
            <w:r w:rsidRPr="00153F96">
              <w:rPr>
                <w:rFonts w:ascii="Calibri" w:eastAsia="Times New Roman" w:hAnsi="Calibri" w:cs="Calibri"/>
                <w:b/>
                <w:color w:val="000000"/>
                <w:sz w:val="18"/>
                <w:szCs w:val="18"/>
                <w:lang w:eastAsia="es-ES"/>
              </w:rPr>
              <w:t>La revisión de los subcontroles de este punto es FUNDAMENTAL cuando la entidad auditada haga uso de un entorno cloud, con independencia de la categoría del servicio (SaaS, PaaS e IaaS).</w:t>
            </w:r>
          </w:p>
        </w:tc>
      </w:tr>
      <w:tr w:rsidR="00153F96" w:rsidRPr="00153F96" w14:paraId="10E3D842" w14:textId="77777777" w:rsidTr="00DB25A2">
        <w:trPr>
          <w:trHeight w:val="300"/>
        </w:trPr>
        <w:tc>
          <w:tcPr>
            <w:tcW w:w="426" w:type="pct"/>
            <w:vMerge/>
            <w:tcBorders>
              <w:top w:val="single" w:sz="8" w:space="0" w:color="auto"/>
              <w:left w:val="single" w:sz="8" w:space="0" w:color="auto"/>
              <w:bottom w:val="single" w:sz="4" w:space="0" w:color="auto"/>
              <w:right w:val="single" w:sz="8" w:space="0" w:color="auto"/>
            </w:tcBorders>
            <w:shd w:val="clear" w:color="auto" w:fill="FFF2CC" w:themeFill="accent4" w:themeFillTint="33"/>
            <w:vAlign w:val="center"/>
            <w:hideMark/>
          </w:tcPr>
          <w:p w14:paraId="0404E335" w14:textId="77777777" w:rsidR="00153F96" w:rsidRPr="007D6CDF" w:rsidRDefault="00153F96" w:rsidP="00153F96">
            <w:pPr>
              <w:spacing w:after="0" w:line="240" w:lineRule="auto"/>
              <w:rPr>
                <w:rFonts w:ascii="Calibri" w:eastAsia="Times New Roman" w:hAnsi="Calibri" w:cs="Calibri"/>
                <w:b/>
                <w:color w:val="000000"/>
                <w:sz w:val="20"/>
                <w:szCs w:val="20"/>
                <w:lang w:eastAsia="es-ES"/>
              </w:rPr>
            </w:pPr>
          </w:p>
        </w:tc>
        <w:tc>
          <w:tcPr>
            <w:tcW w:w="1253"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auto" w:fill="FFF2CC" w:themeFill="accent4" w:themeFillTint="33"/>
            <w:vAlign w:val="center"/>
            <w:hideMark/>
          </w:tcPr>
          <w:p w14:paraId="4A8D17AF" w14:textId="77777777" w:rsidR="00153F96" w:rsidRPr="007D6CDF" w:rsidRDefault="00153F96" w:rsidP="00FD4E84">
            <w:pPr>
              <w:spacing w:after="0" w:line="240" w:lineRule="auto"/>
              <w:ind w:left="289" w:hanging="289"/>
              <w:rPr>
                <w:rFonts w:ascii="Calibri" w:eastAsia="Times New Roman" w:hAnsi="Calibri" w:cs="Calibri"/>
                <w:sz w:val="20"/>
                <w:szCs w:val="20"/>
                <w:lang w:eastAsia="es-ES"/>
              </w:rPr>
            </w:pPr>
            <w:r w:rsidRPr="007D6CDF">
              <w:rPr>
                <w:rFonts w:ascii="Calibri" w:eastAsia="Times New Roman" w:hAnsi="Calibri" w:cs="Calibri"/>
                <w:sz w:val="20"/>
                <w:szCs w:val="20"/>
                <w:lang w:eastAsia="es-ES"/>
              </w:rPr>
              <w:t>C6 Protección Frente a Malware</w:t>
            </w:r>
          </w:p>
        </w:tc>
        <w:tc>
          <w:tcPr>
            <w:tcW w:w="202"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auto" w:fill="FFF2CC" w:themeFill="accent4" w:themeFillTint="33"/>
            <w:noWrap/>
            <w:vAlign w:val="center"/>
            <w:hideMark/>
          </w:tcPr>
          <w:p w14:paraId="21D26D97"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N/A</w:t>
            </w:r>
          </w:p>
        </w:tc>
        <w:tc>
          <w:tcPr>
            <w:tcW w:w="206"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auto" w:fill="FFF2CC" w:themeFill="accent4" w:themeFillTint="33"/>
            <w:noWrap/>
            <w:vAlign w:val="center"/>
            <w:hideMark/>
          </w:tcPr>
          <w:p w14:paraId="20C30B9B"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N/A</w:t>
            </w:r>
          </w:p>
        </w:tc>
        <w:tc>
          <w:tcPr>
            <w:tcW w:w="185"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auto" w:fill="FFF2CC" w:themeFill="accent4" w:themeFillTint="33"/>
            <w:noWrap/>
            <w:vAlign w:val="center"/>
            <w:hideMark/>
          </w:tcPr>
          <w:p w14:paraId="75A0F34D"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2727" w:type="pct"/>
            <w:tcBorders>
              <w:top w:val="single" w:sz="8" w:space="0" w:color="833C0B" w:themeColor="accent2" w:themeShade="80"/>
              <w:left w:val="single" w:sz="8" w:space="0" w:color="auto"/>
              <w:bottom w:val="single" w:sz="8" w:space="0" w:color="833C0B" w:themeColor="accent2" w:themeShade="80"/>
              <w:right w:val="single" w:sz="4" w:space="0" w:color="auto"/>
            </w:tcBorders>
            <w:shd w:val="clear" w:color="auto" w:fill="FFF2CC" w:themeFill="accent4" w:themeFillTint="33"/>
            <w:vAlign w:val="center"/>
            <w:hideMark/>
          </w:tcPr>
          <w:p w14:paraId="3AA2C171" w14:textId="77777777" w:rsidR="00153F96" w:rsidRPr="00153F96" w:rsidRDefault="00153F96" w:rsidP="00FD4E84">
            <w:pPr>
              <w:spacing w:after="0" w:line="240" w:lineRule="auto"/>
              <w:rPr>
                <w:rFonts w:ascii="Calibri" w:eastAsia="Times New Roman" w:hAnsi="Calibri" w:cs="Calibri"/>
                <w:color w:val="000000"/>
                <w:lang w:eastAsia="es-ES"/>
              </w:rPr>
            </w:pPr>
            <w:r w:rsidRPr="00153F96">
              <w:rPr>
                <w:rFonts w:ascii="Calibri" w:eastAsia="Times New Roman" w:hAnsi="Calibri" w:cs="Calibri"/>
                <w:color w:val="000000"/>
                <w:lang w:eastAsia="es-ES"/>
              </w:rPr>
              <w:t> </w:t>
            </w:r>
          </w:p>
        </w:tc>
      </w:tr>
      <w:tr w:rsidR="00153F96" w:rsidRPr="00153F96" w14:paraId="300CD541" w14:textId="77777777" w:rsidTr="00DB25A2">
        <w:trPr>
          <w:trHeight w:val="300"/>
        </w:trPr>
        <w:tc>
          <w:tcPr>
            <w:tcW w:w="426" w:type="pct"/>
            <w:vMerge/>
            <w:tcBorders>
              <w:top w:val="single" w:sz="8" w:space="0" w:color="auto"/>
              <w:left w:val="single" w:sz="8" w:space="0" w:color="auto"/>
              <w:bottom w:val="single" w:sz="4" w:space="0" w:color="auto"/>
              <w:right w:val="single" w:sz="8" w:space="0" w:color="auto"/>
            </w:tcBorders>
            <w:shd w:val="clear" w:color="auto" w:fill="FFF2CC" w:themeFill="accent4" w:themeFillTint="33"/>
            <w:vAlign w:val="center"/>
            <w:hideMark/>
          </w:tcPr>
          <w:p w14:paraId="0FEC050A" w14:textId="77777777" w:rsidR="00153F96" w:rsidRPr="007D6CDF" w:rsidRDefault="00153F96" w:rsidP="00153F96">
            <w:pPr>
              <w:spacing w:after="0" w:line="240" w:lineRule="auto"/>
              <w:rPr>
                <w:rFonts w:ascii="Calibri" w:eastAsia="Times New Roman" w:hAnsi="Calibri" w:cs="Calibri"/>
                <w:b/>
                <w:color w:val="000000"/>
                <w:sz w:val="20"/>
                <w:szCs w:val="20"/>
                <w:lang w:eastAsia="es-ES"/>
              </w:rPr>
            </w:pPr>
          </w:p>
        </w:tc>
        <w:tc>
          <w:tcPr>
            <w:tcW w:w="1253"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auto" w:fill="FFF2CC" w:themeFill="accent4" w:themeFillTint="33"/>
            <w:vAlign w:val="center"/>
            <w:hideMark/>
          </w:tcPr>
          <w:p w14:paraId="6C8A18C9" w14:textId="77777777" w:rsidR="00153F96" w:rsidRPr="007D6CDF" w:rsidRDefault="00153F96" w:rsidP="00FD4E84">
            <w:pPr>
              <w:spacing w:after="0" w:line="240" w:lineRule="auto"/>
              <w:ind w:left="289" w:hanging="289"/>
              <w:rPr>
                <w:rFonts w:ascii="Calibri" w:eastAsia="Times New Roman" w:hAnsi="Calibri" w:cs="Calibri"/>
                <w:sz w:val="20"/>
                <w:szCs w:val="20"/>
                <w:lang w:eastAsia="es-ES"/>
              </w:rPr>
            </w:pPr>
            <w:r w:rsidRPr="007D6CDF">
              <w:rPr>
                <w:rFonts w:ascii="Calibri" w:eastAsia="Times New Roman" w:hAnsi="Calibri" w:cs="Calibri"/>
                <w:sz w:val="20"/>
                <w:szCs w:val="20"/>
                <w:lang w:eastAsia="es-ES"/>
              </w:rPr>
              <w:t>C7 Protección de Instalaciones e Infraestructuras</w:t>
            </w:r>
          </w:p>
        </w:tc>
        <w:tc>
          <w:tcPr>
            <w:tcW w:w="202"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auto" w:fill="FFF2CC" w:themeFill="accent4" w:themeFillTint="33"/>
            <w:noWrap/>
            <w:vAlign w:val="center"/>
            <w:hideMark/>
          </w:tcPr>
          <w:p w14:paraId="08E5D427"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N/A</w:t>
            </w:r>
          </w:p>
        </w:tc>
        <w:tc>
          <w:tcPr>
            <w:tcW w:w="206"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auto" w:fill="FFF2CC" w:themeFill="accent4" w:themeFillTint="33"/>
            <w:noWrap/>
            <w:vAlign w:val="center"/>
            <w:hideMark/>
          </w:tcPr>
          <w:p w14:paraId="74089CD4"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N/A</w:t>
            </w:r>
          </w:p>
        </w:tc>
        <w:tc>
          <w:tcPr>
            <w:tcW w:w="185"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auto" w:fill="FFF2CC" w:themeFill="accent4" w:themeFillTint="33"/>
            <w:noWrap/>
            <w:vAlign w:val="center"/>
            <w:hideMark/>
          </w:tcPr>
          <w:p w14:paraId="097567DB"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N/A</w:t>
            </w:r>
          </w:p>
        </w:tc>
        <w:tc>
          <w:tcPr>
            <w:tcW w:w="2727" w:type="pct"/>
            <w:tcBorders>
              <w:top w:val="single" w:sz="8" w:space="0" w:color="833C0B" w:themeColor="accent2" w:themeShade="80"/>
              <w:left w:val="single" w:sz="8" w:space="0" w:color="auto"/>
              <w:bottom w:val="single" w:sz="8" w:space="0" w:color="833C0B" w:themeColor="accent2" w:themeShade="80"/>
              <w:right w:val="single" w:sz="4" w:space="0" w:color="auto"/>
            </w:tcBorders>
            <w:shd w:val="clear" w:color="auto" w:fill="FFF2CC" w:themeFill="accent4" w:themeFillTint="33"/>
            <w:vAlign w:val="center"/>
            <w:hideMark/>
          </w:tcPr>
          <w:p w14:paraId="781DF354" w14:textId="77777777" w:rsidR="00153F96" w:rsidRPr="00153F96" w:rsidRDefault="00153F96" w:rsidP="00FD4E84">
            <w:pPr>
              <w:spacing w:after="0" w:line="240" w:lineRule="auto"/>
              <w:rPr>
                <w:rFonts w:ascii="Calibri" w:eastAsia="Times New Roman" w:hAnsi="Calibri" w:cs="Calibri"/>
                <w:color w:val="000000"/>
                <w:lang w:eastAsia="es-ES"/>
              </w:rPr>
            </w:pPr>
            <w:r w:rsidRPr="00153F96">
              <w:rPr>
                <w:rFonts w:ascii="Calibri" w:eastAsia="Times New Roman" w:hAnsi="Calibri" w:cs="Calibri"/>
                <w:color w:val="000000"/>
                <w:lang w:eastAsia="es-ES"/>
              </w:rPr>
              <w:t> </w:t>
            </w:r>
          </w:p>
        </w:tc>
      </w:tr>
      <w:tr w:rsidR="00153F96" w:rsidRPr="00153F96" w14:paraId="78ECE01A" w14:textId="77777777" w:rsidTr="00DB25A2">
        <w:trPr>
          <w:trHeight w:val="900"/>
        </w:trPr>
        <w:tc>
          <w:tcPr>
            <w:tcW w:w="426" w:type="pct"/>
            <w:vMerge/>
            <w:tcBorders>
              <w:top w:val="single" w:sz="8" w:space="0" w:color="auto"/>
              <w:left w:val="single" w:sz="8" w:space="0" w:color="auto"/>
              <w:bottom w:val="single" w:sz="4" w:space="0" w:color="auto"/>
              <w:right w:val="single" w:sz="8" w:space="0" w:color="auto"/>
            </w:tcBorders>
            <w:shd w:val="clear" w:color="auto" w:fill="FFF2CC" w:themeFill="accent4" w:themeFillTint="33"/>
            <w:vAlign w:val="center"/>
            <w:hideMark/>
          </w:tcPr>
          <w:p w14:paraId="775DDC47" w14:textId="77777777" w:rsidR="00153F96" w:rsidRPr="007D6CDF" w:rsidRDefault="00153F96" w:rsidP="00153F96">
            <w:pPr>
              <w:spacing w:after="0" w:line="240" w:lineRule="auto"/>
              <w:rPr>
                <w:rFonts w:ascii="Calibri" w:eastAsia="Times New Roman" w:hAnsi="Calibri" w:cs="Calibri"/>
                <w:b/>
                <w:color w:val="000000"/>
                <w:sz w:val="20"/>
                <w:szCs w:val="20"/>
                <w:lang w:eastAsia="es-ES"/>
              </w:rPr>
            </w:pPr>
          </w:p>
        </w:tc>
        <w:tc>
          <w:tcPr>
            <w:tcW w:w="1253"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auto" w:fill="FFF2CC" w:themeFill="accent4" w:themeFillTint="33"/>
            <w:vAlign w:val="center"/>
            <w:hideMark/>
          </w:tcPr>
          <w:p w14:paraId="66D87C70" w14:textId="77777777" w:rsidR="00153F96" w:rsidRPr="007D6CDF" w:rsidRDefault="00153F96" w:rsidP="00FD4E84">
            <w:pPr>
              <w:spacing w:after="0" w:line="240" w:lineRule="auto"/>
              <w:ind w:left="289" w:hanging="289"/>
              <w:rPr>
                <w:rFonts w:ascii="Calibri" w:eastAsia="Times New Roman" w:hAnsi="Calibri" w:cs="Calibri"/>
                <w:sz w:val="20"/>
                <w:szCs w:val="20"/>
                <w:lang w:eastAsia="es-ES"/>
              </w:rPr>
            </w:pPr>
            <w:r w:rsidRPr="007D6CDF">
              <w:rPr>
                <w:rFonts w:ascii="Calibri" w:eastAsia="Times New Roman" w:hAnsi="Calibri" w:cs="Calibri"/>
                <w:sz w:val="20"/>
                <w:szCs w:val="20"/>
                <w:lang w:eastAsia="es-ES"/>
              </w:rPr>
              <w:t>C8 Gestión de Incidentes</w:t>
            </w:r>
          </w:p>
        </w:tc>
        <w:tc>
          <w:tcPr>
            <w:tcW w:w="202"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auto" w:fill="FFF2CC" w:themeFill="accent4" w:themeFillTint="33"/>
            <w:noWrap/>
            <w:vAlign w:val="center"/>
            <w:hideMark/>
          </w:tcPr>
          <w:p w14:paraId="1A2ABD37" w14:textId="5A0AEE6F" w:rsidR="00153F96" w:rsidRPr="007D6CDF" w:rsidRDefault="00913694"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206"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auto" w:fill="FFF2CC" w:themeFill="accent4" w:themeFillTint="33"/>
            <w:noWrap/>
            <w:vAlign w:val="center"/>
            <w:hideMark/>
          </w:tcPr>
          <w:p w14:paraId="74A9A95D" w14:textId="2C78FB8D" w:rsidR="00153F96" w:rsidRPr="007D6CDF" w:rsidRDefault="00913694"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185"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auto" w:fill="FFF2CC" w:themeFill="accent4" w:themeFillTint="33"/>
            <w:noWrap/>
            <w:vAlign w:val="center"/>
            <w:hideMark/>
          </w:tcPr>
          <w:p w14:paraId="2BD35271" w14:textId="004F1802" w:rsidR="00153F96" w:rsidRPr="007D6CDF" w:rsidRDefault="00913694"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2727" w:type="pct"/>
            <w:tcBorders>
              <w:top w:val="single" w:sz="8" w:space="0" w:color="833C0B" w:themeColor="accent2" w:themeShade="80"/>
              <w:left w:val="single" w:sz="8" w:space="0" w:color="auto"/>
              <w:bottom w:val="single" w:sz="8" w:space="0" w:color="833C0B" w:themeColor="accent2" w:themeShade="80"/>
              <w:right w:val="single" w:sz="4" w:space="0" w:color="auto"/>
            </w:tcBorders>
            <w:shd w:val="clear" w:color="auto" w:fill="FFF2CC" w:themeFill="accent4" w:themeFillTint="33"/>
            <w:vAlign w:val="center"/>
            <w:hideMark/>
          </w:tcPr>
          <w:p w14:paraId="650E840D" w14:textId="77777777" w:rsidR="00153F96" w:rsidRPr="00153F96" w:rsidRDefault="00153F96" w:rsidP="00FD4E84">
            <w:pPr>
              <w:spacing w:after="0" w:line="240" w:lineRule="auto"/>
              <w:rPr>
                <w:rFonts w:ascii="Calibri" w:eastAsia="Times New Roman" w:hAnsi="Calibri" w:cs="Calibri"/>
                <w:color w:val="000000"/>
                <w:sz w:val="18"/>
                <w:szCs w:val="18"/>
                <w:lang w:eastAsia="es-ES"/>
              </w:rPr>
            </w:pPr>
            <w:r w:rsidRPr="00153F96">
              <w:rPr>
                <w:rFonts w:ascii="Calibri" w:eastAsia="Times New Roman" w:hAnsi="Calibri" w:cs="Calibri"/>
                <w:color w:val="000000"/>
                <w:sz w:val="18"/>
                <w:szCs w:val="18"/>
                <w:lang w:eastAsia="es-ES"/>
              </w:rPr>
              <w:t>La gestión de incidentes que realice el CSP para garantizar el servicio contratado es responsabilidad del CSP y queda fuera del alcance del trabajo. Sin embargo, sí es crítico revisar que la entidad auditada tenga un procedimiento de gestión de incidentes y que éste contemple la coordinación con el CSP en modo bidireccional, es decir, para los incidentes que afecten al entorno cloud con independencia de que estos sean detectados por la entidad auditada o por el CSP.</w:t>
            </w:r>
          </w:p>
        </w:tc>
      </w:tr>
      <w:tr w:rsidR="00153F96" w:rsidRPr="00153F96" w14:paraId="65F60CC0" w14:textId="77777777" w:rsidTr="00DB25A2">
        <w:trPr>
          <w:trHeight w:val="300"/>
        </w:trPr>
        <w:tc>
          <w:tcPr>
            <w:tcW w:w="426" w:type="pct"/>
            <w:vMerge/>
            <w:tcBorders>
              <w:top w:val="single" w:sz="8" w:space="0" w:color="auto"/>
              <w:left w:val="single" w:sz="8" w:space="0" w:color="auto"/>
              <w:bottom w:val="single" w:sz="4" w:space="0" w:color="auto"/>
              <w:right w:val="single" w:sz="8" w:space="0" w:color="auto"/>
            </w:tcBorders>
            <w:shd w:val="clear" w:color="auto" w:fill="FFF2CC" w:themeFill="accent4" w:themeFillTint="33"/>
            <w:vAlign w:val="center"/>
            <w:hideMark/>
          </w:tcPr>
          <w:p w14:paraId="325E4F8A" w14:textId="77777777" w:rsidR="00153F96" w:rsidRPr="007D6CDF" w:rsidRDefault="00153F96" w:rsidP="00153F96">
            <w:pPr>
              <w:spacing w:after="0" w:line="240" w:lineRule="auto"/>
              <w:rPr>
                <w:rFonts w:ascii="Calibri" w:eastAsia="Times New Roman" w:hAnsi="Calibri" w:cs="Calibri"/>
                <w:b/>
                <w:color w:val="000000"/>
                <w:sz w:val="20"/>
                <w:szCs w:val="20"/>
                <w:lang w:eastAsia="es-ES"/>
              </w:rPr>
            </w:pPr>
          </w:p>
        </w:tc>
        <w:tc>
          <w:tcPr>
            <w:tcW w:w="1253" w:type="pct"/>
            <w:tcBorders>
              <w:top w:val="single" w:sz="8" w:space="0" w:color="833C0B" w:themeColor="accent2" w:themeShade="80"/>
              <w:left w:val="single" w:sz="8" w:space="0" w:color="auto"/>
              <w:bottom w:val="single" w:sz="8" w:space="0" w:color="auto"/>
              <w:right w:val="single" w:sz="8" w:space="0" w:color="auto"/>
            </w:tcBorders>
            <w:shd w:val="clear" w:color="auto" w:fill="FFF2CC" w:themeFill="accent4" w:themeFillTint="33"/>
            <w:vAlign w:val="center"/>
            <w:hideMark/>
          </w:tcPr>
          <w:p w14:paraId="671E31FA" w14:textId="77777777" w:rsidR="00153F96" w:rsidRPr="007D6CDF" w:rsidRDefault="00153F96" w:rsidP="00FD4E84">
            <w:pPr>
              <w:spacing w:after="0" w:line="240" w:lineRule="auto"/>
              <w:ind w:left="289" w:hanging="289"/>
              <w:rPr>
                <w:rFonts w:ascii="Calibri" w:eastAsia="Times New Roman" w:hAnsi="Calibri" w:cs="Calibri"/>
                <w:sz w:val="20"/>
                <w:szCs w:val="20"/>
                <w:lang w:eastAsia="es-ES"/>
              </w:rPr>
            </w:pPr>
            <w:r w:rsidRPr="007D6CDF">
              <w:rPr>
                <w:rFonts w:ascii="Calibri" w:eastAsia="Times New Roman" w:hAnsi="Calibri" w:cs="Calibri"/>
                <w:sz w:val="20"/>
                <w:szCs w:val="20"/>
                <w:lang w:eastAsia="es-ES"/>
              </w:rPr>
              <w:t>C9 Monitorización</w:t>
            </w:r>
          </w:p>
        </w:tc>
        <w:tc>
          <w:tcPr>
            <w:tcW w:w="202" w:type="pct"/>
            <w:tcBorders>
              <w:top w:val="single" w:sz="8" w:space="0" w:color="833C0B" w:themeColor="accent2" w:themeShade="80"/>
              <w:left w:val="single" w:sz="8" w:space="0" w:color="auto"/>
              <w:bottom w:val="single" w:sz="8" w:space="0" w:color="auto"/>
              <w:right w:val="single" w:sz="8" w:space="0" w:color="auto"/>
            </w:tcBorders>
            <w:shd w:val="clear" w:color="auto" w:fill="FFF2CC" w:themeFill="accent4" w:themeFillTint="33"/>
            <w:noWrap/>
            <w:vAlign w:val="center"/>
            <w:hideMark/>
          </w:tcPr>
          <w:p w14:paraId="0C7043A7"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N/A</w:t>
            </w:r>
          </w:p>
        </w:tc>
        <w:tc>
          <w:tcPr>
            <w:tcW w:w="206" w:type="pct"/>
            <w:tcBorders>
              <w:top w:val="single" w:sz="8" w:space="0" w:color="833C0B" w:themeColor="accent2" w:themeShade="80"/>
              <w:left w:val="single" w:sz="8" w:space="0" w:color="auto"/>
              <w:bottom w:val="single" w:sz="8" w:space="0" w:color="auto"/>
              <w:right w:val="single" w:sz="8" w:space="0" w:color="auto"/>
            </w:tcBorders>
            <w:shd w:val="clear" w:color="auto" w:fill="FFF2CC" w:themeFill="accent4" w:themeFillTint="33"/>
            <w:noWrap/>
            <w:vAlign w:val="center"/>
            <w:hideMark/>
          </w:tcPr>
          <w:p w14:paraId="49E00C7F"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185" w:type="pct"/>
            <w:tcBorders>
              <w:top w:val="single" w:sz="8" w:space="0" w:color="833C0B" w:themeColor="accent2" w:themeShade="80"/>
              <w:left w:val="single" w:sz="8" w:space="0" w:color="auto"/>
              <w:bottom w:val="single" w:sz="8" w:space="0" w:color="auto"/>
              <w:right w:val="single" w:sz="8" w:space="0" w:color="auto"/>
            </w:tcBorders>
            <w:shd w:val="clear" w:color="auto" w:fill="FFF2CC" w:themeFill="accent4" w:themeFillTint="33"/>
            <w:noWrap/>
            <w:vAlign w:val="center"/>
            <w:hideMark/>
          </w:tcPr>
          <w:p w14:paraId="334C5222"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2727" w:type="pct"/>
            <w:tcBorders>
              <w:top w:val="single" w:sz="8" w:space="0" w:color="833C0B" w:themeColor="accent2" w:themeShade="80"/>
              <w:left w:val="single" w:sz="8" w:space="0" w:color="auto"/>
              <w:bottom w:val="single" w:sz="8" w:space="0" w:color="auto"/>
              <w:right w:val="single" w:sz="4" w:space="0" w:color="auto"/>
            </w:tcBorders>
            <w:shd w:val="clear" w:color="auto" w:fill="FFF2CC" w:themeFill="accent4" w:themeFillTint="33"/>
            <w:vAlign w:val="center"/>
            <w:hideMark/>
          </w:tcPr>
          <w:p w14:paraId="11F7AEB5" w14:textId="77777777" w:rsidR="00153F96" w:rsidRPr="00153F96" w:rsidRDefault="00153F96" w:rsidP="00FD4E84">
            <w:pPr>
              <w:spacing w:after="0" w:line="240" w:lineRule="auto"/>
              <w:rPr>
                <w:rFonts w:ascii="Calibri" w:eastAsia="Times New Roman" w:hAnsi="Calibri" w:cs="Calibri"/>
                <w:color w:val="000000"/>
                <w:sz w:val="18"/>
                <w:szCs w:val="18"/>
                <w:lang w:eastAsia="es-ES"/>
              </w:rPr>
            </w:pPr>
            <w:r w:rsidRPr="00153F96">
              <w:rPr>
                <w:rFonts w:ascii="Calibri" w:eastAsia="Times New Roman" w:hAnsi="Calibri" w:cs="Calibri"/>
                <w:color w:val="000000"/>
                <w:sz w:val="18"/>
                <w:szCs w:val="18"/>
                <w:lang w:eastAsia="es-ES"/>
              </w:rPr>
              <w:t>En el caso de PaaS, la entidad auditada sólo será responsable de la monitorización a nivel de aplicación (si es que la tiene).</w:t>
            </w:r>
          </w:p>
        </w:tc>
      </w:tr>
      <w:tr w:rsidR="00153F96" w:rsidRPr="00153F96" w14:paraId="7C58E3A1" w14:textId="77777777" w:rsidTr="00DB25A2">
        <w:trPr>
          <w:trHeight w:val="300"/>
        </w:trPr>
        <w:tc>
          <w:tcPr>
            <w:tcW w:w="426" w:type="pct"/>
            <w:vMerge w:val="restart"/>
            <w:tcBorders>
              <w:top w:val="single" w:sz="4" w:space="0" w:color="auto"/>
              <w:left w:val="single" w:sz="4" w:space="0" w:color="auto"/>
              <w:bottom w:val="single" w:sz="4" w:space="0" w:color="auto"/>
              <w:right w:val="single" w:sz="8" w:space="0" w:color="auto"/>
            </w:tcBorders>
            <w:shd w:val="clear" w:color="000000" w:fill="FFF8E5"/>
            <w:vAlign w:val="center"/>
            <w:hideMark/>
          </w:tcPr>
          <w:p w14:paraId="2B540807" w14:textId="77777777" w:rsidR="00153F96" w:rsidRPr="007D6CDF" w:rsidRDefault="00153F96" w:rsidP="00153F96">
            <w:pPr>
              <w:spacing w:after="0" w:line="240" w:lineRule="auto"/>
              <w:jc w:val="center"/>
              <w:rPr>
                <w:rFonts w:ascii="Calibri" w:eastAsia="Times New Roman" w:hAnsi="Calibri" w:cs="Calibri"/>
                <w:b/>
                <w:color w:val="000000"/>
                <w:sz w:val="20"/>
                <w:szCs w:val="20"/>
                <w:lang w:eastAsia="es-ES"/>
              </w:rPr>
            </w:pPr>
            <w:r w:rsidRPr="007D6CDF">
              <w:rPr>
                <w:rFonts w:ascii="Calibri" w:eastAsia="Times New Roman" w:hAnsi="Calibri" w:cs="Calibri"/>
                <w:b/>
                <w:color w:val="000000"/>
                <w:sz w:val="20"/>
                <w:szCs w:val="20"/>
                <w:lang w:eastAsia="es-ES"/>
              </w:rPr>
              <w:t>D. Controles de Acceso a Datos y Programas</w:t>
            </w:r>
          </w:p>
        </w:tc>
        <w:tc>
          <w:tcPr>
            <w:tcW w:w="1253" w:type="pct"/>
            <w:tcBorders>
              <w:top w:val="single" w:sz="8" w:space="0" w:color="auto"/>
              <w:left w:val="single" w:sz="8" w:space="0" w:color="auto"/>
              <w:bottom w:val="single" w:sz="8" w:space="0" w:color="833C0B" w:themeColor="accent2" w:themeShade="80"/>
              <w:right w:val="single" w:sz="8" w:space="0" w:color="auto"/>
            </w:tcBorders>
            <w:shd w:val="clear" w:color="000000" w:fill="FFF8E5"/>
            <w:vAlign w:val="center"/>
            <w:hideMark/>
          </w:tcPr>
          <w:p w14:paraId="51C4CC0F" w14:textId="32D506FF" w:rsidR="00153F96" w:rsidRPr="007D6CDF" w:rsidRDefault="00153F96" w:rsidP="00FD4E84">
            <w:pPr>
              <w:spacing w:after="0" w:line="240" w:lineRule="auto"/>
              <w:ind w:left="289" w:hanging="289"/>
              <w:rPr>
                <w:rFonts w:ascii="Calibri" w:eastAsia="Times New Roman" w:hAnsi="Calibri" w:cs="Calibri"/>
                <w:sz w:val="20"/>
                <w:szCs w:val="20"/>
                <w:lang w:eastAsia="es-ES"/>
              </w:rPr>
            </w:pPr>
            <w:r w:rsidRPr="007D6CDF">
              <w:rPr>
                <w:rFonts w:ascii="Calibri" w:eastAsia="Times New Roman" w:hAnsi="Calibri" w:cs="Calibri"/>
                <w:sz w:val="20"/>
                <w:szCs w:val="20"/>
                <w:lang w:eastAsia="es-ES"/>
              </w:rPr>
              <w:t>D1 CBCS 4 Uso controlado de privilegios administrativos</w:t>
            </w:r>
          </w:p>
        </w:tc>
        <w:tc>
          <w:tcPr>
            <w:tcW w:w="202" w:type="pct"/>
            <w:tcBorders>
              <w:top w:val="single" w:sz="8" w:space="0" w:color="auto"/>
              <w:left w:val="single" w:sz="8" w:space="0" w:color="auto"/>
              <w:bottom w:val="single" w:sz="8" w:space="0" w:color="833C0B" w:themeColor="accent2" w:themeShade="80"/>
              <w:right w:val="single" w:sz="8" w:space="0" w:color="auto"/>
            </w:tcBorders>
            <w:shd w:val="clear" w:color="000000" w:fill="FFF8E5"/>
            <w:noWrap/>
            <w:vAlign w:val="center"/>
            <w:hideMark/>
          </w:tcPr>
          <w:p w14:paraId="05D53B49"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206" w:type="pct"/>
            <w:tcBorders>
              <w:top w:val="single" w:sz="8" w:space="0" w:color="auto"/>
              <w:left w:val="single" w:sz="8" w:space="0" w:color="auto"/>
              <w:bottom w:val="single" w:sz="8" w:space="0" w:color="833C0B" w:themeColor="accent2" w:themeShade="80"/>
              <w:right w:val="single" w:sz="8" w:space="0" w:color="auto"/>
            </w:tcBorders>
            <w:shd w:val="clear" w:color="000000" w:fill="FFF8E5"/>
            <w:noWrap/>
            <w:vAlign w:val="center"/>
            <w:hideMark/>
          </w:tcPr>
          <w:p w14:paraId="60501F35"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185" w:type="pct"/>
            <w:tcBorders>
              <w:top w:val="single" w:sz="8" w:space="0" w:color="auto"/>
              <w:left w:val="single" w:sz="8" w:space="0" w:color="auto"/>
              <w:bottom w:val="single" w:sz="8" w:space="0" w:color="833C0B" w:themeColor="accent2" w:themeShade="80"/>
              <w:right w:val="single" w:sz="8" w:space="0" w:color="auto"/>
            </w:tcBorders>
            <w:shd w:val="clear" w:color="000000" w:fill="FFF8E5"/>
            <w:noWrap/>
            <w:vAlign w:val="center"/>
            <w:hideMark/>
          </w:tcPr>
          <w:p w14:paraId="7CCA1D3A"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2727" w:type="pct"/>
            <w:vMerge w:val="restart"/>
            <w:tcBorders>
              <w:top w:val="single" w:sz="8" w:space="0" w:color="auto"/>
              <w:left w:val="single" w:sz="8" w:space="0" w:color="auto"/>
              <w:bottom w:val="single" w:sz="4" w:space="0" w:color="auto"/>
              <w:right w:val="single" w:sz="4" w:space="0" w:color="auto"/>
            </w:tcBorders>
            <w:shd w:val="clear" w:color="000000" w:fill="FFF8E5"/>
            <w:vAlign w:val="center"/>
            <w:hideMark/>
          </w:tcPr>
          <w:p w14:paraId="6B72FD8B" w14:textId="3DDA4DDF" w:rsidR="00E445B3" w:rsidRDefault="00153F96" w:rsidP="00FD4E84">
            <w:pPr>
              <w:spacing w:after="0" w:line="240" w:lineRule="auto"/>
              <w:rPr>
                <w:rFonts w:ascii="Calibri" w:eastAsia="Times New Roman" w:hAnsi="Calibri" w:cs="Calibri"/>
                <w:color w:val="000000"/>
                <w:sz w:val="18"/>
                <w:szCs w:val="18"/>
                <w:lang w:eastAsia="es-ES"/>
              </w:rPr>
            </w:pPr>
            <w:r w:rsidRPr="00153F96">
              <w:rPr>
                <w:rFonts w:ascii="Calibri" w:eastAsia="Times New Roman" w:hAnsi="Calibri" w:cs="Calibri"/>
                <w:color w:val="000000"/>
                <w:sz w:val="18"/>
                <w:szCs w:val="18"/>
                <w:lang w:eastAsia="es-ES"/>
              </w:rPr>
              <w:t>Todos los controles del área D son de aplicación a un entorno cloud, con la única particularidad de que se debe circunscribir la revisión a los componentes que administre total o parcialmente el cliente.</w:t>
            </w:r>
            <w:r w:rsidRPr="00153F96">
              <w:rPr>
                <w:rFonts w:ascii="Calibri" w:eastAsia="Times New Roman" w:hAnsi="Calibri" w:cs="Calibri"/>
                <w:color w:val="000000"/>
                <w:sz w:val="18"/>
                <w:szCs w:val="18"/>
                <w:lang w:eastAsia="es-ES"/>
              </w:rPr>
              <w:br/>
              <w:t>De esta forma, si el servicio cloud es un SaaS, la revisión se realizará sobre la gestión de usuarios y privilegios a nivel de aplicación que sea responsabilidad del cliente (es decir, el CSP siempre dispondrá de usuarios administradores de la aplicación, por ejemplo, para la realización de actualizaciones de la aplicación o cambios de configuración que no estarán disponibles para la entidad auditada y, por tanto, quedarán excluidas de nuestro trabajo de revisión</w:t>
            </w:r>
            <w:r w:rsidR="00E445B3">
              <w:rPr>
                <w:rFonts w:ascii="Calibri" w:eastAsia="Times New Roman" w:hAnsi="Calibri" w:cs="Calibri"/>
                <w:color w:val="000000"/>
                <w:sz w:val="18"/>
                <w:szCs w:val="18"/>
                <w:lang w:eastAsia="es-ES"/>
              </w:rPr>
              <w:t>)</w:t>
            </w:r>
            <w:r w:rsidRPr="00153F96">
              <w:rPr>
                <w:rFonts w:ascii="Calibri" w:eastAsia="Times New Roman" w:hAnsi="Calibri" w:cs="Calibri"/>
                <w:color w:val="000000"/>
                <w:sz w:val="18"/>
                <w:szCs w:val="18"/>
                <w:lang w:eastAsia="es-ES"/>
              </w:rPr>
              <w:t xml:space="preserve">. </w:t>
            </w:r>
            <w:r w:rsidRPr="00153F96">
              <w:rPr>
                <w:rFonts w:ascii="Calibri" w:eastAsia="Times New Roman" w:hAnsi="Calibri" w:cs="Calibri"/>
                <w:color w:val="000000"/>
                <w:sz w:val="18"/>
                <w:szCs w:val="18"/>
                <w:lang w:eastAsia="es-ES"/>
              </w:rPr>
              <w:br/>
              <w:t>En caso de PaaS, se debe realizar la revisión completa</w:t>
            </w:r>
            <w:r w:rsidRPr="00153F96">
              <w:rPr>
                <w:rFonts w:ascii="Calibri" w:eastAsia="Times New Roman" w:hAnsi="Calibri" w:cs="Calibri"/>
                <w:color w:val="000000"/>
                <w:sz w:val="18"/>
                <w:szCs w:val="18"/>
                <w:u w:val="single"/>
                <w:lang w:eastAsia="es-ES"/>
              </w:rPr>
              <w:t xml:space="preserve"> </w:t>
            </w:r>
            <w:r w:rsidRPr="00153F96">
              <w:rPr>
                <w:rFonts w:ascii="Calibri" w:eastAsia="Times New Roman" w:hAnsi="Calibri" w:cs="Calibri"/>
                <w:color w:val="000000"/>
                <w:sz w:val="18"/>
                <w:szCs w:val="18"/>
                <w:lang w:eastAsia="es-ES"/>
              </w:rPr>
              <w:t>a nivel de aplicación</w:t>
            </w:r>
            <w:r w:rsidR="00E445B3">
              <w:rPr>
                <w:rFonts w:ascii="Calibri" w:eastAsia="Times New Roman" w:hAnsi="Calibri" w:cs="Calibri"/>
                <w:color w:val="000000"/>
                <w:sz w:val="18"/>
                <w:szCs w:val="18"/>
                <w:lang w:eastAsia="es-ES"/>
              </w:rPr>
              <w:t xml:space="preserve"> y de las opciones (autenticación, configuración de seguridad, etc</w:t>
            </w:r>
            <w:r w:rsidR="002273B2">
              <w:rPr>
                <w:rFonts w:ascii="Calibri" w:eastAsia="Times New Roman" w:hAnsi="Calibri" w:cs="Calibri"/>
                <w:color w:val="000000"/>
                <w:sz w:val="18"/>
                <w:szCs w:val="18"/>
                <w:lang w:eastAsia="es-ES"/>
              </w:rPr>
              <w:t>.</w:t>
            </w:r>
            <w:r w:rsidR="00E445B3">
              <w:rPr>
                <w:rFonts w:ascii="Calibri" w:eastAsia="Times New Roman" w:hAnsi="Calibri" w:cs="Calibri"/>
                <w:color w:val="000000"/>
                <w:sz w:val="18"/>
                <w:szCs w:val="18"/>
                <w:lang w:eastAsia="es-ES"/>
              </w:rPr>
              <w:t>) que sean administradas por la entidad auditada.</w:t>
            </w:r>
          </w:p>
          <w:p w14:paraId="70D02644" w14:textId="24E4D846" w:rsidR="00153F96" w:rsidRPr="00153F96" w:rsidRDefault="00153F96" w:rsidP="00FD4E84">
            <w:pPr>
              <w:spacing w:after="0" w:line="240" w:lineRule="auto"/>
              <w:rPr>
                <w:rFonts w:ascii="Calibri" w:eastAsia="Times New Roman" w:hAnsi="Calibri" w:cs="Calibri"/>
                <w:color w:val="000000"/>
                <w:sz w:val="18"/>
                <w:szCs w:val="18"/>
                <w:lang w:eastAsia="es-ES"/>
              </w:rPr>
            </w:pPr>
            <w:r w:rsidRPr="00153F96">
              <w:rPr>
                <w:rFonts w:ascii="Calibri" w:eastAsia="Times New Roman" w:hAnsi="Calibri" w:cs="Calibri"/>
                <w:color w:val="000000"/>
                <w:sz w:val="18"/>
                <w:szCs w:val="18"/>
                <w:lang w:eastAsia="es-ES"/>
              </w:rPr>
              <w:t>En caso de servicio de tipo IaaS, se revisarán todos los controles a todos los niveles, salvo en lo concerniente a</w:t>
            </w:r>
            <w:r w:rsidR="00E445B3">
              <w:rPr>
                <w:rFonts w:ascii="Calibri" w:eastAsia="Times New Roman" w:hAnsi="Calibri" w:cs="Calibri"/>
                <w:color w:val="000000"/>
                <w:sz w:val="18"/>
                <w:szCs w:val="18"/>
                <w:lang w:eastAsia="es-ES"/>
              </w:rPr>
              <w:t xml:space="preserve"> aquellos asociados al hardware propiamente y las</w:t>
            </w:r>
            <w:r w:rsidRPr="00153F96">
              <w:rPr>
                <w:rFonts w:ascii="Calibri" w:eastAsia="Times New Roman" w:hAnsi="Calibri" w:cs="Calibri"/>
                <w:color w:val="000000"/>
                <w:sz w:val="18"/>
                <w:szCs w:val="18"/>
                <w:lang w:eastAsia="es-ES"/>
              </w:rPr>
              <w:t xml:space="preserve"> comunicaciones del CSP.</w:t>
            </w:r>
          </w:p>
        </w:tc>
      </w:tr>
      <w:tr w:rsidR="00153F96" w:rsidRPr="00153F96" w14:paraId="332AC52C" w14:textId="77777777" w:rsidTr="00DB25A2">
        <w:trPr>
          <w:trHeight w:val="300"/>
        </w:trPr>
        <w:tc>
          <w:tcPr>
            <w:tcW w:w="426" w:type="pct"/>
            <w:vMerge/>
            <w:tcBorders>
              <w:top w:val="single" w:sz="4" w:space="0" w:color="auto"/>
              <w:left w:val="single" w:sz="4" w:space="0" w:color="auto"/>
              <w:bottom w:val="single" w:sz="4" w:space="0" w:color="auto"/>
              <w:right w:val="single" w:sz="8" w:space="0" w:color="auto"/>
            </w:tcBorders>
            <w:vAlign w:val="center"/>
            <w:hideMark/>
          </w:tcPr>
          <w:p w14:paraId="79218B19" w14:textId="77777777" w:rsidR="00153F96" w:rsidRPr="007D6CDF" w:rsidRDefault="00153F96" w:rsidP="00153F96">
            <w:pPr>
              <w:spacing w:after="0" w:line="240" w:lineRule="auto"/>
              <w:rPr>
                <w:rFonts w:ascii="Calibri" w:eastAsia="Times New Roman" w:hAnsi="Calibri" w:cs="Calibri"/>
                <w:b/>
                <w:color w:val="000000"/>
                <w:sz w:val="20"/>
                <w:szCs w:val="20"/>
                <w:lang w:eastAsia="es-ES"/>
              </w:rPr>
            </w:pPr>
          </w:p>
        </w:tc>
        <w:tc>
          <w:tcPr>
            <w:tcW w:w="1253"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000000" w:fill="FFF8E5"/>
            <w:vAlign w:val="center"/>
            <w:hideMark/>
          </w:tcPr>
          <w:p w14:paraId="16E248C7" w14:textId="77777777" w:rsidR="00153F96" w:rsidRPr="007D6CDF" w:rsidRDefault="00153F96" w:rsidP="00FD4E84">
            <w:pPr>
              <w:spacing w:after="0" w:line="240" w:lineRule="auto"/>
              <w:ind w:left="289" w:hanging="289"/>
              <w:rPr>
                <w:rFonts w:ascii="Calibri" w:eastAsia="Times New Roman" w:hAnsi="Calibri" w:cs="Calibri"/>
                <w:sz w:val="20"/>
                <w:szCs w:val="20"/>
                <w:lang w:eastAsia="es-ES"/>
              </w:rPr>
            </w:pPr>
            <w:r w:rsidRPr="007D6CDF">
              <w:rPr>
                <w:rFonts w:ascii="Calibri" w:eastAsia="Times New Roman" w:hAnsi="Calibri" w:cs="Calibri"/>
                <w:sz w:val="20"/>
                <w:szCs w:val="20"/>
                <w:lang w:eastAsia="es-ES"/>
              </w:rPr>
              <w:t>D2 Mecanismos de Identificación y Autenticación</w:t>
            </w:r>
          </w:p>
        </w:tc>
        <w:tc>
          <w:tcPr>
            <w:tcW w:w="202"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000000" w:fill="FFF8E5"/>
            <w:noWrap/>
            <w:vAlign w:val="center"/>
            <w:hideMark/>
          </w:tcPr>
          <w:p w14:paraId="020EB62A"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206"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000000" w:fill="FFF8E5"/>
            <w:noWrap/>
            <w:vAlign w:val="center"/>
            <w:hideMark/>
          </w:tcPr>
          <w:p w14:paraId="096F21C2"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185"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000000" w:fill="FFF8E5"/>
            <w:noWrap/>
            <w:vAlign w:val="center"/>
            <w:hideMark/>
          </w:tcPr>
          <w:p w14:paraId="076EC14F"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2727" w:type="pct"/>
            <w:vMerge/>
            <w:tcBorders>
              <w:top w:val="single" w:sz="4" w:space="0" w:color="auto"/>
              <w:left w:val="single" w:sz="8" w:space="0" w:color="auto"/>
              <w:bottom w:val="single" w:sz="4" w:space="0" w:color="auto"/>
              <w:right w:val="single" w:sz="4" w:space="0" w:color="auto"/>
            </w:tcBorders>
            <w:vAlign w:val="center"/>
            <w:hideMark/>
          </w:tcPr>
          <w:p w14:paraId="3EFAB627" w14:textId="77777777" w:rsidR="00153F96" w:rsidRPr="00153F96" w:rsidRDefault="00153F96" w:rsidP="00FD4E84">
            <w:pPr>
              <w:spacing w:after="0" w:line="240" w:lineRule="auto"/>
              <w:rPr>
                <w:rFonts w:ascii="Calibri" w:eastAsia="Times New Roman" w:hAnsi="Calibri" w:cs="Calibri"/>
                <w:color w:val="000000"/>
                <w:sz w:val="18"/>
                <w:szCs w:val="18"/>
                <w:lang w:eastAsia="es-ES"/>
              </w:rPr>
            </w:pPr>
          </w:p>
        </w:tc>
      </w:tr>
      <w:tr w:rsidR="00153F96" w:rsidRPr="00153F96" w14:paraId="3B91E37B" w14:textId="77777777" w:rsidTr="00DB25A2">
        <w:trPr>
          <w:trHeight w:val="300"/>
        </w:trPr>
        <w:tc>
          <w:tcPr>
            <w:tcW w:w="426" w:type="pct"/>
            <w:vMerge/>
            <w:tcBorders>
              <w:top w:val="single" w:sz="4" w:space="0" w:color="auto"/>
              <w:left w:val="single" w:sz="4" w:space="0" w:color="auto"/>
              <w:bottom w:val="single" w:sz="4" w:space="0" w:color="auto"/>
              <w:right w:val="single" w:sz="8" w:space="0" w:color="auto"/>
            </w:tcBorders>
            <w:vAlign w:val="center"/>
            <w:hideMark/>
          </w:tcPr>
          <w:p w14:paraId="0ADAF51D" w14:textId="77777777" w:rsidR="00153F96" w:rsidRPr="007D6CDF" w:rsidRDefault="00153F96" w:rsidP="00153F96">
            <w:pPr>
              <w:spacing w:after="0" w:line="240" w:lineRule="auto"/>
              <w:rPr>
                <w:rFonts w:ascii="Calibri" w:eastAsia="Times New Roman" w:hAnsi="Calibri" w:cs="Calibri"/>
                <w:b/>
                <w:color w:val="000000"/>
                <w:sz w:val="20"/>
                <w:szCs w:val="20"/>
                <w:lang w:eastAsia="es-ES"/>
              </w:rPr>
            </w:pPr>
          </w:p>
        </w:tc>
        <w:tc>
          <w:tcPr>
            <w:tcW w:w="1253"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000000" w:fill="FFF8E5"/>
            <w:vAlign w:val="center"/>
            <w:hideMark/>
          </w:tcPr>
          <w:p w14:paraId="0CFA21FF" w14:textId="77777777" w:rsidR="00153F96" w:rsidRPr="007D6CDF" w:rsidRDefault="00153F96" w:rsidP="00FD4E84">
            <w:pPr>
              <w:spacing w:after="0" w:line="240" w:lineRule="auto"/>
              <w:ind w:left="289" w:hanging="289"/>
              <w:rPr>
                <w:rFonts w:ascii="Calibri" w:eastAsia="Times New Roman" w:hAnsi="Calibri" w:cs="Calibri"/>
                <w:sz w:val="20"/>
                <w:szCs w:val="20"/>
                <w:lang w:eastAsia="es-ES"/>
              </w:rPr>
            </w:pPr>
            <w:r w:rsidRPr="007D6CDF">
              <w:rPr>
                <w:rFonts w:ascii="Calibri" w:eastAsia="Times New Roman" w:hAnsi="Calibri" w:cs="Calibri"/>
                <w:sz w:val="20"/>
                <w:szCs w:val="20"/>
                <w:lang w:eastAsia="es-ES"/>
              </w:rPr>
              <w:t>D3 Gestión de Derechos de Acceso</w:t>
            </w:r>
          </w:p>
        </w:tc>
        <w:tc>
          <w:tcPr>
            <w:tcW w:w="202"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000000" w:fill="FFF8E5"/>
            <w:noWrap/>
            <w:vAlign w:val="center"/>
            <w:hideMark/>
          </w:tcPr>
          <w:p w14:paraId="72F6D98C"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206"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000000" w:fill="FFF8E5"/>
            <w:noWrap/>
            <w:vAlign w:val="center"/>
            <w:hideMark/>
          </w:tcPr>
          <w:p w14:paraId="0304CC9E"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185"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000000" w:fill="FFF8E5"/>
            <w:noWrap/>
            <w:vAlign w:val="center"/>
            <w:hideMark/>
          </w:tcPr>
          <w:p w14:paraId="6A2A8D82"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2727" w:type="pct"/>
            <w:vMerge/>
            <w:tcBorders>
              <w:top w:val="single" w:sz="4" w:space="0" w:color="auto"/>
              <w:left w:val="single" w:sz="8" w:space="0" w:color="auto"/>
              <w:bottom w:val="single" w:sz="4" w:space="0" w:color="auto"/>
              <w:right w:val="single" w:sz="4" w:space="0" w:color="auto"/>
            </w:tcBorders>
            <w:vAlign w:val="center"/>
            <w:hideMark/>
          </w:tcPr>
          <w:p w14:paraId="7D839256" w14:textId="77777777" w:rsidR="00153F96" w:rsidRPr="00153F96" w:rsidRDefault="00153F96" w:rsidP="00FD4E84">
            <w:pPr>
              <w:spacing w:after="0" w:line="240" w:lineRule="auto"/>
              <w:rPr>
                <w:rFonts w:ascii="Calibri" w:eastAsia="Times New Roman" w:hAnsi="Calibri" w:cs="Calibri"/>
                <w:color w:val="000000"/>
                <w:sz w:val="18"/>
                <w:szCs w:val="18"/>
                <w:lang w:eastAsia="es-ES"/>
              </w:rPr>
            </w:pPr>
          </w:p>
        </w:tc>
      </w:tr>
      <w:tr w:rsidR="00153F96" w:rsidRPr="00153F96" w14:paraId="3A7FCF92" w14:textId="77777777" w:rsidTr="00DB25A2">
        <w:trPr>
          <w:trHeight w:val="300"/>
        </w:trPr>
        <w:tc>
          <w:tcPr>
            <w:tcW w:w="426" w:type="pct"/>
            <w:vMerge/>
            <w:tcBorders>
              <w:top w:val="single" w:sz="4" w:space="0" w:color="auto"/>
              <w:left w:val="single" w:sz="4" w:space="0" w:color="auto"/>
              <w:bottom w:val="single" w:sz="4" w:space="0" w:color="auto"/>
              <w:right w:val="single" w:sz="8" w:space="0" w:color="auto"/>
            </w:tcBorders>
            <w:vAlign w:val="center"/>
            <w:hideMark/>
          </w:tcPr>
          <w:p w14:paraId="66D0B16F" w14:textId="77777777" w:rsidR="00153F96" w:rsidRPr="007D6CDF" w:rsidRDefault="00153F96" w:rsidP="00153F96">
            <w:pPr>
              <w:spacing w:after="0" w:line="240" w:lineRule="auto"/>
              <w:rPr>
                <w:rFonts w:ascii="Calibri" w:eastAsia="Times New Roman" w:hAnsi="Calibri" w:cs="Calibri"/>
                <w:b/>
                <w:color w:val="000000"/>
                <w:sz w:val="20"/>
                <w:szCs w:val="20"/>
                <w:lang w:eastAsia="es-ES"/>
              </w:rPr>
            </w:pPr>
          </w:p>
        </w:tc>
        <w:tc>
          <w:tcPr>
            <w:tcW w:w="1253"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000000" w:fill="FFF8E5"/>
            <w:vAlign w:val="center"/>
            <w:hideMark/>
          </w:tcPr>
          <w:p w14:paraId="6F33E1AA" w14:textId="77777777" w:rsidR="00153F96" w:rsidRPr="007D6CDF" w:rsidRDefault="00153F96" w:rsidP="00FD4E84">
            <w:pPr>
              <w:spacing w:after="0" w:line="240" w:lineRule="auto"/>
              <w:ind w:left="289" w:hanging="289"/>
              <w:rPr>
                <w:rFonts w:ascii="Calibri" w:eastAsia="Times New Roman" w:hAnsi="Calibri" w:cs="Calibri"/>
                <w:sz w:val="20"/>
                <w:szCs w:val="20"/>
                <w:lang w:eastAsia="es-ES"/>
              </w:rPr>
            </w:pPr>
            <w:r w:rsidRPr="007D6CDF">
              <w:rPr>
                <w:rFonts w:ascii="Calibri" w:eastAsia="Times New Roman" w:hAnsi="Calibri" w:cs="Calibri"/>
                <w:sz w:val="20"/>
                <w:szCs w:val="20"/>
                <w:lang w:eastAsia="es-ES"/>
              </w:rPr>
              <w:t>D4 Gestión de Usuarios</w:t>
            </w:r>
          </w:p>
        </w:tc>
        <w:tc>
          <w:tcPr>
            <w:tcW w:w="202"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000000" w:fill="FFF8E5"/>
            <w:noWrap/>
            <w:vAlign w:val="center"/>
            <w:hideMark/>
          </w:tcPr>
          <w:p w14:paraId="346517A4"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206"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000000" w:fill="FFF8E5"/>
            <w:noWrap/>
            <w:vAlign w:val="center"/>
            <w:hideMark/>
          </w:tcPr>
          <w:p w14:paraId="2548C32D"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185" w:type="pct"/>
            <w:tcBorders>
              <w:top w:val="single" w:sz="8" w:space="0" w:color="833C0B" w:themeColor="accent2" w:themeShade="80"/>
              <w:left w:val="single" w:sz="8" w:space="0" w:color="auto"/>
              <w:bottom w:val="single" w:sz="8" w:space="0" w:color="833C0B" w:themeColor="accent2" w:themeShade="80"/>
              <w:right w:val="single" w:sz="8" w:space="0" w:color="auto"/>
            </w:tcBorders>
            <w:shd w:val="clear" w:color="000000" w:fill="FFF8E5"/>
            <w:noWrap/>
            <w:vAlign w:val="center"/>
            <w:hideMark/>
          </w:tcPr>
          <w:p w14:paraId="73744B98"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2727" w:type="pct"/>
            <w:vMerge/>
            <w:tcBorders>
              <w:top w:val="single" w:sz="4" w:space="0" w:color="auto"/>
              <w:left w:val="single" w:sz="8" w:space="0" w:color="auto"/>
              <w:bottom w:val="single" w:sz="4" w:space="0" w:color="auto"/>
              <w:right w:val="single" w:sz="4" w:space="0" w:color="auto"/>
            </w:tcBorders>
            <w:vAlign w:val="center"/>
            <w:hideMark/>
          </w:tcPr>
          <w:p w14:paraId="4F84F38A" w14:textId="77777777" w:rsidR="00153F96" w:rsidRPr="00153F96" w:rsidRDefault="00153F96" w:rsidP="00FD4E84">
            <w:pPr>
              <w:spacing w:after="0" w:line="240" w:lineRule="auto"/>
              <w:rPr>
                <w:rFonts w:ascii="Calibri" w:eastAsia="Times New Roman" w:hAnsi="Calibri" w:cs="Calibri"/>
                <w:color w:val="000000"/>
                <w:sz w:val="18"/>
                <w:szCs w:val="18"/>
                <w:lang w:eastAsia="es-ES"/>
              </w:rPr>
            </w:pPr>
          </w:p>
        </w:tc>
      </w:tr>
      <w:tr w:rsidR="00153F96" w:rsidRPr="00153F96" w14:paraId="4D486637" w14:textId="77777777" w:rsidTr="00DB25A2">
        <w:trPr>
          <w:trHeight w:val="300"/>
        </w:trPr>
        <w:tc>
          <w:tcPr>
            <w:tcW w:w="426" w:type="pct"/>
            <w:vMerge/>
            <w:tcBorders>
              <w:top w:val="single" w:sz="4" w:space="0" w:color="auto"/>
              <w:left w:val="single" w:sz="4" w:space="0" w:color="auto"/>
              <w:bottom w:val="single" w:sz="4" w:space="0" w:color="auto"/>
              <w:right w:val="single" w:sz="8" w:space="0" w:color="auto"/>
            </w:tcBorders>
            <w:vAlign w:val="center"/>
            <w:hideMark/>
          </w:tcPr>
          <w:p w14:paraId="544AF718" w14:textId="77777777" w:rsidR="00153F96" w:rsidRPr="007D6CDF" w:rsidRDefault="00153F96" w:rsidP="00153F96">
            <w:pPr>
              <w:spacing w:after="0" w:line="240" w:lineRule="auto"/>
              <w:rPr>
                <w:rFonts w:ascii="Calibri" w:eastAsia="Times New Roman" w:hAnsi="Calibri" w:cs="Calibri"/>
                <w:b/>
                <w:color w:val="000000"/>
                <w:sz w:val="20"/>
                <w:szCs w:val="20"/>
                <w:lang w:eastAsia="es-ES"/>
              </w:rPr>
            </w:pPr>
          </w:p>
        </w:tc>
        <w:tc>
          <w:tcPr>
            <w:tcW w:w="1253" w:type="pct"/>
            <w:tcBorders>
              <w:top w:val="single" w:sz="8" w:space="0" w:color="833C0B" w:themeColor="accent2" w:themeShade="80"/>
              <w:left w:val="single" w:sz="8" w:space="0" w:color="auto"/>
              <w:bottom w:val="single" w:sz="8" w:space="0" w:color="auto"/>
              <w:right w:val="single" w:sz="8" w:space="0" w:color="auto"/>
            </w:tcBorders>
            <w:shd w:val="clear" w:color="000000" w:fill="FFF8E5"/>
            <w:vAlign w:val="center"/>
            <w:hideMark/>
          </w:tcPr>
          <w:p w14:paraId="5AF63280" w14:textId="77777777" w:rsidR="00153F96" w:rsidRPr="007D6CDF" w:rsidRDefault="00153F96" w:rsidP="00FD4E84">
            <w:pPr>
              <w:spacing w:after="0" w:line="240" w:lineRule="auto"/>
              <w:ind w:left="289" w:hanging="289"/>
              <w:rPr>
                <w:rFonts w:ascii="Calibri" w:eastAsia="Times New Roman" w:hAnsi="Calibri" w:cs="Calibri"/>
                <w:sz w:val="20"/>
                <w:szCs w:val="20"/>
                <w:lang w:eastAsia="es-ES"/>
              </w:rPr>
            </w:pPr>
            <w:r w:rsidRPr="007D6CDF">
              <w:rPr>
                <w:rFonts w:ascii="Calibri" w:eastAsia="Times New Roman" w:hAnsi="Calibri" w:cs="Calibri"/>
                <w:sz w:val="20"/>
                <w:szCs w:val="20"/>
                <w:lang w:eastAsia="es-ES"/>
              </w:rPr>
              <w:t>D5 Protección de Redes y Comunicaciones</w:t>
            </w:r>
          </w:p>
        </w:tc>
        <w:tc>
          <w:tcPr>
            <w:tcW w:w="202" w:type="pct"/>
            <w:tcBorders>
              <w:top w:val="single" w:sz="8" w:space="0" w:color="833C0B" w:themeColor="accent2" w:themeShade="80"/>
              <w:left w:val="single" w:sz="8" w:space="0" w:color="auto"/>
              <w:bottom w:val="single" w:sz="8" w:space="0" w:color="auto"/>
              <w:right w:val="single" w:sz="8" w:space="0" w:color="auto"/>
            </w:tcBorders>
            <w:shd w:val="clear" w:color="000000" w:fill="FFF8E5"/>
            <w:noWrap/>
            <w:vAlign w:val="center"/>
            <w:hideMark/>
          </w:tcPr>
          <w:p w14:paraId="31FC5016"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206" w:type="pct"/>
            <w:tcBorders>
              <w:top w:val="single" w:sz="8" w:space="0" w:color="833C0B" w:themeColor="accent2" w:themeShade="80"/>
              <w:left w:val="single" w:sz="8" w:space="0" w:color="auto"/>
              <w:bottom w:val="single" w:sz="8" w:space="0" w:color="auto"/>
              <w:right w:val="single" w:sz="8" w:space="0" w:color="auto"/>
            </w:tcBorders>
            <w:shd w:val="clear" w:color="000000" w:fill="FFF8E5"/>
            <w:noWrap/>
            <w:vAlign w:val="center"/>
            <w:hideMark/>
          </w:tcPr>
          <w:p w14:paraId="379931F0"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185" w:type="pct"/>
            <w:tcBorders>
              <w:top w:val="single" w:sz="8" w:space="0" w:color="833C0B" w:themeColor="accent2" w:themeShade="80"/>
              <w:left w:val="single" w:sz="8" w:space="0" w:color="auto"/>
              <w:bottom w:val="single" w:sz="8" w:space="0" w:color="auto"/>
              <w:right w:val="single" w:sz="8" w:space="0" w:color="auto"/>
            </w:tcBorders>
            <w:shd w:val="clear" w:color="000000" w:fill="FFF8E5"/>
            <w:noWrap/>
            <w:vAlign w:val="center"/>
            <w:hideMark/>
          </w:tcPr>
          <w:p w14:paraId="0B1D84C7"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2727" w:type="pct"/>
            <w:vMerge/>
            <w:tcBorders>
              <w:top w:val="single" w:sz="4" w:space="0" w:color="auto"/>
              <w:left w:val="single" w:sz="8" w:space="0" w:color="auto"/>
              <w:bottom w:val="single" w:sz="4" w:space="0" w:color="auto"/>
              <w:right w:val="single" w:sz="4" w:space="0" w:color="auto"/>
            </w:tcBorders>
            <w:vAlign w:val="center"/>
            <w:hideMark/>
          </w:tcPr>
          <w:p w14:paraId="067B8FCD" w14:textId="77777777" w:rsidR="00153F96" w:rsidRPr="00153F96" w:rsidRDefault="00153F96" w:rsidP="00FD4E84">
            <w:pPr>
              <w:spacing w:after="0" w:line="240" w:lineRule="auto"/>
              <w:rPr>
                <w:rFonts w:ascii="Calibri" w:eastAsia="Times New Roman" w:hAnsi="Calibri" w:cs="Calibri"/>
                <w:color w:val="000000"/>
                <w:sz w:val="18"/>
                <w:szCs w:val="18"/>
                <w:lang w:eastAsia="es-ES"/>
              </w:rPr>
            </w:pPr>
          </w:p>
        </w:tc>
      </w:tr>
      <w:tr w:rsidR="00153F96" w:rsidRPr="00153F96" w14:paraId="68E2087D" w14:textId="77777777" w:rsidTr="00DB25A2">
        <w:trPr>
          <w:trHeight w:val="300"/>
        </w:trPr>
        <w:tc>
          <w:tcPr>
            <w:tcW w:w="426" w:type="pct"/>
            <w:vMerge w:val="restart"/>
            <w:tcBorders>
              <w:top w:val="nil"/>
              <w:left w:val="single" w:sz="8" w:space="0" w:color="auto"/>
              <w:bottom w:val="single" w:sz="8" w:space="0" w:color="000000"/>
              <w:right w:val="single" w:sz="8" w:space="0" w:color="auto"/>
            </w:tcBorders>
            <w:shd w:val="clear" w:color="000000" w:fill="FFF2CC"/>
            <w:vAlign w:val="center"/>
            <w:hideMark/>
          </w:tcPr>
          <w:p w14:paraId="6D863567" w14:textId="77777777" w:rsidR="00153F96" w:rsidRPr="007D6CDF" w:rsidRDefault="00153F96" w:rsidP="00153F96">
            <w:pPr>
              <w:spacing w:after="0" w:line="240" w:lineRule="auto"/>
              <w:jc w:val="center"/>
              <w:rPr>
                <w:rFonts w:ascii="Calibri" w:eastAsia="Times New Roman" w:hAnsi="Calibri" w:cs="Calibri"/>
                <w:b/>
                <w:color w:val="000000"/>
                <w:sz w:val="20"/>
                <w:szCs w:val="20"/>
                <w:lang w:eastAsia="es-ES"/>
              </w:rPr>
            </w:pPr>
            <w:r w:rsidRPr="007D6CDF">
              <w:rPr>
                <w:rFonts w:ascii="Calibri" w:eastAsia="Times New Roman" w:hAnsi="Calibri" w:cs="Calibri"/>
                <w:b/>
                <w:color w:val="000000"/>
                <w:sz w:val="20"/>
                <w:szCs w:val="20"/>
                <w:lang w:eastAsia="es-ES"/>
              </w:rPr>
              <w:t>E. Continuidad del Servicio</w:t>
            </w:r>
          </w:p>
        </w:tc>
        <w:tc>
          <w:tcPr>
            <w:tcW w:w="1253" w:type="pct"/>
            <w:tcBorders>
              <w:top w:val="single" w:sz="8" w:space="0" w:color="auto"/>
              <w:left w:val="single" w:sz="8" w:space="0" w:color="auto"/>
              <w:bottom w:val="single" w:sz="8" w:space="0" w:color="833C0B" w:themeColor="accent2" w:themeShade="80"/>
              <w:right w:val="single" w:sz="8" w:space="0" w:color="auto"/>
            </w:tcBorders>
            <w:shd w:val="clear" w:color="000000" w:fill="FFF2CC"/>
            <w:vAlign w:val="center"/>
            <w:hideMark/>
          </w:tcPr>
          <w:p w14:paraId="50BBA00F" w14:textId="364367F4" w:rsidR="00153F96" w:rsidRPr="007D6CDF" w:rsidRDefault="00153F96" w:rsidP="00FD4E84">
            <w:pPr>
              <w:spacing w:after="0" w:line="240" w:lineRule="auto"/>
              <w:ind w:left="289" w:hanging="289"/>
              <w:rPr>
                <w:rFonts w:ascii="Calibri" w:eastAsia="Times New Roman" w:hAnsi="Calibri" w:cs="Calibri"/>
                <w:sz w:val="20"/>
                <w:szCs w:val="20"/>
                <w:lang w:eastAsia="es-ES"/>
              </w:rPr>
            </w:pPr>
            <w:r w:rsidRPr="007D6CDF">
              <w:rPr>
                <w:rFonts w:ascii="Calibri" w:eastAsia="Times New Roman" w:hAnsi="Calibri" w:cs="Calibri"/>
                <w:sz w:val="20"/>
                <w:szCs w:val="20"/>
                <w:lang w:eastAsia="es-ES"/>
              </w:rPr>
              <w:t>E1 CBCS 7 Copia de seguridad de datos y sistemas</w:t>
            </w:r>
          </w:p>
        </w:tc>
        <w:tc>
          <w:tcPr>
            <w:tcW w:w="202" w:type="pct"/>
            <w:tcBorders>
              <w:top w:val="single" w:sz="8" w:space="0" w:color="auto"/>
              <w:left w:val="single" w:sz="8" w:space="0" w:color="auto"/>
              <w:bottom w:val="single" w:sz="8" w:space="0" w:color="833C0B" w:themeColor="accent2" w:themeShade="80"/>
              <w:right w:val="single" w:sz="8" w:space="0" w:color="auto"/>
            </w:tcBorders>
            <w:shd w:val="clear" w:color="000000" w:fill="FFF2CC"/>
            <w:noWrap/>
            <w:vAlign w:val="center"/>
            <w:hideMark/>
          </w:tcPr>
          <w:p w14:paraId="48F8522A"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N/A</w:t>
            </w:r>
          </w:p>
        </w:tc>
        <w:tc>
          <w:tcPr>
            <w:tcW w:w="206" w:type="pct"/>
            <w:tcBorders>
              <w:top w:val="single" w:sz="8" w:space="0" w:color="auto"/>
              <w:left w:val="single" w:sz="8" w:space="0" w:color="auto"/>
              <w:bottom w:val="single" w:sz="8" w:space="0" w:color="833C0B" w:themeColor="accent2" w:themeShade="80"/>
              <w:right w:val="single" w:sz="8" w:space="0" w:color="auto"/>
            </w:tcBorders>
            <w:shd w:val="clear" w:color="000000" w:fill="FFF2CC"/>
            <w:noWrap/>
            <w:vAlign w:val="center"/>
            <w:hideMark/>
          </w:tcPr>
          <w:p w14:paraId="7974F29E"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185" w:type="pct"/>
            <w:tcBorders>
              <w:top w:val="single" w:sz="8" w:space="0" w:color="auto"/>
              <w:left w:val="single" w:sz="8" w:space="0" w:color="auto"/>
              <w:bottom w:val="single" w:sz="8" w:space="0" w:color="833C0B" w:themeColor="accent2" w:themeShade="80"/>
              <w:right w:val="single" w:sz="8" w:space="0" w:color="auto"/>
            </w:tcBorders>
            <w:shd w:val="clear" w:color="000000" w:fill="FFF2CC"/>
            <w:noWrap/>
            <w:vAlign w:val="center"/>
            <w:hideMark/>
          </w:tcPr>
          <w:p w14:paraId="168C7DAE"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2727" w:type="pct"/>
            <w:vMerge w:val="restart"/>
            <w:tcBorders>
              <w:top w:val="nil"/>
              <w:left w:val="single" w:sz="8" w:space="0" w:color="auto"/>
              <w:bottom w:val="single" w:sz="8" w:space="0" w:color="000000"/>
              <w:right w:val="single" w:sz="8" w:space="0" w:color="auto"/>
            </w:tcBorders>
            <w:shd w:val="clear" w:color="000000" w:fill="FFF2CC"/>
            <w:vAlign w:val="center"/>
            <w:hideMark/>
          </w:tcPr>
          <w:p w14:paraId="78546D44" w14:textId="77777777" w:rsidR="00E445B3" w:rsidRDefault="00153F96" w:rsidP="00FD4E84">
            <w:pPr>
              <w:spacing w:after="0" w:line="240" w:lineRule="auto"/>
              <w:rPr>
                <w:rFonts w:ascii="Calibri" w:eastAsia="Times New Roman" w:hAnsi="Calibri" w:cs="Calibri"/>
                <w:color w:val="000000"/>
                <w:sz w:val="18"/>
                <w:szCs w:val="18"/>
                <w:lang w:eastAsia="es-ES"/>
              </w:rPr>
            </w:pPr>
            <w:r w:rsidRPr="00153F96">
              <w:rPr>
                <w:rFonts w:ascii="Calibri" w:eastAsia="Times New Roman" w:hAnsi="Calibri" w:cs="Calibri"/>
                <w:color w:val="000000"/>
                <w:sz w:val="18"/>
                <w:szCs w:val="18"/>
                <w:lang w:eastAsia="es-ES"/>
              </w:rPr>
              <w:t>En modo SaaS, la continuidad del servicio deberá ser garantizada por el CSP y será responsabilidad del ente auditado el que esté adecuadamente reflejado por contrato y se realice seguimiento del cumplimiento de los SLAs definidos.</w:t>
            </w:r>
          </w:p>
          <w:p w14:paraId="2FC25C78" w14:textId="77777777" w:rsidR="00E445B3" w:rsidRDefault="00153F96" w:rsidP="00FD4E84">
            <w:pPr>
              <w:spacing w:after="0" w:line="240" w:lineRule="auto"/>
              <w:rPr>
                <w:rFonts w:ascii="Calibri" w:eastAsia="Times New Roman" w:hAnsi="Calibri" w:cs="Calibri"/>
                <w:color w:val="000000"/>
                <w:sz w:val="18"/>
                <w:szCs w:val="18"/>
                <w:lang w:eastAsia="es-ES"/>
              </w:rPr>
            </w:pPr>
            <w:r w:rsidRPr="00153F96">
              <w:rPr>
                <w:rFonts w:ascii="Calibri" w:eastAsia="Times New Roman" w:hAnsi="Calibri" w:cs="Calibri"/>
                <w:color w:val="000000"/>
                <w:sz w:val="18"/>
                <w:szCs w:val="18"/>
                <w:lang w:eastAsia="es-ES"/>
              </w:rPr>
              <w:t>En modo PaaS, el cliente deberá garantizar la continuidad del software que instale por encima de la infraestructura facilitada por el CSP.</w:t>
            </w:r>
          </w:p>
          <w:p w14:paraId="26BE2D71" w14:textId="4E6224CF" w:rsidR="00153F96" w:rsidRPr="00153F96" w:rsidRDefault="00153F96" w:rsidP="00FD4E84">
            <w:pPr>
              <w:spacing w:after="0" w:line="240" w:lineRule="auto"/>
              <w:rPr>
                <w:rFonts w:ascii="Calibri" w:eastAsia="Times New Roman" w:hAnsi="Calibri" w:cs="Calibri"/>
                <w:color w:val="000000"/>
                <w:sz w:val="18"/>
                <w:szCs w:val="18"/>
                <w:lang w:eastAsia="es-ES"/>
              </w:rPr>
            </w:pPr>
            <w:r w:rsidRPr="00153F96">
              <w:rPr>
                <w:rFonts w:ascii="Calibri" w:eastAsia="Times New Roman" w:hAnsi="Calibri" w:cs="Calibri"/>
                <w:color w:val="000000"/>
                <w:sz w:val="18"/>
                <w:szCs w:val="18"/>
                <w:lang w:eastAsia="es-ES"/>
              </w:rPr>
              <w:t>En modo IaaS, el cliente deberá garantizar la continuidad de todos los componentes de la pila tecnológica que instale en la infraestructura facilitada por el CSP, siendo éste únicamente responsable de la continuidad en lo que respecta al HW y las comunicaciones.</w:t>
            </w:r>
          </w:p>
        </w:tc>
      </w:tr>
      <w:tr w:rsidR="00153F96" w:rsidRPr="00153F96" w14:paraId="4D30542D" w14:textId="77777777" w:rsidTr="00DB25A2">
        <w:trPr>
          <w:trHeight w:val="300"/>
        </w:trPr>
        <w:tc>
          <w:tcPr>
            <w:tcW w:w="426" w:type="pct"/>
            <w:vMerge/>
            <w:tcBorders>
              <w:top w:val="nil"/>
              <w:left w:val="single" w:sz="8" w:space="0" w:color="auto"/>
              <w:bottom w:val="single" w:sz="8" w:space="0" w:color="000000"/>
              <w:right w:val="single" w:sz="8" w:space="0" w:color="833C0B" w:themeColor="accent2" w:themeShade="80"/>
            </w:tcBorders>
            <w:vAlign w:val="center"/>
            <w:hideMark/>
          </w:tcPr>
          <w:p w14:paraId="426C8557" w14:textId="77777777" w:rsidR="00153F96" w:rsidRPr="007D6CDF" w:rsidRDefault="00153F96" w:rsidP="00153F96">
            <w:pPr>
              <w:spacing w:after="0" w:line="240" w:lineRule="auto"/>
              <w:rPr>
                <w:rFonts w:ascii="Calibri" w:eastAsia="Times New Roman" w:hAnsi="Calibri" w:cs="Calibri"/>
                <w:b/>
                <w:color w:val="000000"/>
                <w:sz w:val="20"/>
                <w:szCs w:val="20"/>
                <w:lang w:eastAsia="es-ES"/>
              </w:rPr>
            </w:pPr>
          </w:p>
        </w:tc>
        <w:tc>
          <w:tcPr>
            <w:tcW w:w="1253" w:type="pct"/>
            <w:tcBorders>
              <w:top w:val="single" w:sz="8" w:space="0" w:color="833C0B" w:themeColor="accent2" w:themeShade="80"/>
              <w:left w:val="single" w:sz="8" w:space="0" w:color="833C0B" w:themeColor="accent2" w:themeShade="80"/>
              <w:bottom w:val="single" w:sz="8" w:space="0" w:color="833C0B" w:themeColor="accent2" w:themeShade="80"/>
              <w:right w:val="single" w:sz="4" w:space="0" w:color="auto"/>
            </w:tcBorders>
            <w:shd w:val="clear" w:color="000000" w:fill="FFF2CC"/>
            <w:vAlign w:val="center"/>
            <w:hideMark/>
          </w:tcPr>
          <w:p w14:paraId="584443F4" w14:textId="77777777" w:rsidR="00153F96" w:rsidRPr="007D6CDF" w:rsidRDefault="00153F96" w:rsidP="00FD4E84">
            <w:pPr>
              <w:spacing w:after="0" w:line="240" w:lineRule="auto"/>
              <w:ind w:left="289" w:hanging="289"/>
              <w:rPr>
                <w:rFonts w:ascii="Calibri" w:eastAsia="Times New Roman" w:hAnsi="Calibri" w:cs="Calibri"/>
                <w:sz w:val="20"/>
                <w:szCs w:val="20"/>
                <w:lang w:eastAsia="es-ES"/>
              </w:rPr>
            </w:pPr>
            <w:r w:rsidRPr="007D6CDF">
              <w:rPr>
                <w:rFonts w:ascii="Calibri" w:eastAsia="Times New Roman" w:hAnsi="Calibri" w:cs="Calibri"/>
                <w:sz w:val="20"/>
                <w:szCs w:val="20"/>
                <w:lang w:eastAsia="es-ES"/>
              </w:rPr>
              <w:t>E2 Plan de Continuidad</w:t>
            </w:r>
          </w:p>
        </w:tc>
        <w:tc>
          <w:tcPr>
            <w:tcW w:w="202" w:type="pct"/>
            <w:tcBorders>
              <w:top w:val="single" w:sz="8" w:space="0" w:color="833C0B" w:themeColor="accent2" w:themeShade="80"/>
              <w:left w:val="nil"/>
              <w:bottom w:val="single" w:sz="8" w:space="0" w:color="833C0B" w:themeColor="accent2" w:themeShade="80"/>
              <w:right w:val="single" w:sz="4" w:space="0" w:color="auto"/>
            </w:tcBorders>
            <w:shd w:val="clear" w:color="000000" w:fill="FFF2CC"/>
            <w:noWrap/>
            <w:vAlign w:val="center"/>
            <w:hideMark/>
          </w:tcPr>
          <w:p w14:paraId="4DEFD051"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N/A</w:t>
            </w:r>
          </w:p>
        </w:tc>
        <w:tc>
          <w:tcPr>
            <w:tcW w:w="206" w:type="pct"/>
            <w:tcBorders>
              <w:top w:val="single" w:sz="8" w:space="0" w:color="833C0B" w:themeColor="accent2" w:themeShade="80"/>
              <w:left w:val="nil"/>
              <w:bottom w:val="single" w:sz="8" w:space="0" w:color="833C0B" w:themeColor="accent2" w:themeShade="80"/>
              <w:right w:val="single" w:sz="4" w:space="0" w:color="auto"/>
            </w:tcBorders>
            <w:shd w:val="clear" w:color="000000" w:fill="FFF2CC"/>
            <w:noWrap/>
            <w:vAlign w:val="center"/>
            <w:hideMark/>
          </w:tcPr>
          <w:p w14:paraId="041783C1"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185" w:type="pct"/>
            <w:tcBorders>
              <w:top w:val="single" w:sz="8" w:space="0" w:color="833C0B" w:themeColor="accent2" w:themeShade="80"/>
              <w:left w:val="nil"/>
              <w:bottom w:val="single" w:sz="8" w:space="0" w:color="833C0B" w:themeColor="accent2" w:themeShade="80"/>
              <w:right w:val="single" w:sz="4" w:space="0" w:color="auto"/>
            </w:tcBorders>
            <w:shd w:val="clear" w:color="000000" w:fill="FFF2CC"/>
            <w:noWrap/>
            <w:vAlign w:val="center"/>
            <w:hideMark/>
          </w:tcPr>
          <w:p w14:paraId="15262BCD"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2727" w:type="pct"/>
            <w:vMerge/>
            <w:tcBorders>
              <w:top w:val="nil"/>
              <w:left w:val="single" w:sz="4" w:space="0" w:color="auto"/>
              <w:bottom w:val="single" w:sz="8" w:space="0" w:color="000000"/>
              <w:right w:val="single" w:sz="8" w:space="0" w:color="auto"/>
            </w:tcBorders>
            <w:vAlign w:val="center"/>
            <w:hideMark/>
          </w:tcPr>
          <w:p w14:paraId="746B2326" w14:textId="77777777" w:rsidR="00153F96" w:rsidRPr="00153F96" w:rsidRDefault="00153F96" w:rsidP="00153F96">
            <w:pPr>
              <w:spacing w:after="0" w:line="240" w:lineRule="auto"/>
              <w:rPr>
                <w:rFonts w:ascii="Calibri" w:eastAsia="Times New Roman" w:hAnsi="Calibri" w:cs="Calibri"/>
                <w:color w:val="000000"/>
                <w:sz w:val="18"/>
                <w:szCs w:val="18"/>
                <w:lang w:eastAsia="es-ES"/>
              </w:rPr>
            </w:pPr>
          </w:p>
        </w:tc>
      </w:tr>
      <w:tr w:rsidR="00153F96" w:rsidRPr="00153F96" w14:paraId="6A5F6019" w14:textId="77777777" w:rsidTr="00DB25A2">
        <w:trPr>
          <w:trHeight w:val="315"/>
        </w:trPr>
        <w:tc>
          <w:tcPr>
            <w:tcW w:w="426" w:type="pct"/>
            <w:vMerge/>
            <w:tcBorders>
              <w:top w:val="nil"/>
              <w:left w:val="single" w:sz="8" w:space="0" w:color="auto"/>
              <w:bottom w:val="single" w:sz="8" w:space="0" w:color="000000"/>
              <w:right w:val="single" w:sz="8" w:space="0" w:color="833C0B" w:themeColor="accent2" w:themeShade="80"/>
            </w:tcBorders>
            <w:vAlign w:val="center"/>
            <w:hideMark/>
          </w:tcPr>
          <w:p w14:paraId="521A276D" w14:textId="77777777" w:rsidR="00153F96" w:rsidRPr="007D6CDF" w:rsidRDefault="00153F96" w:rsidP="00153F96">
            <w:pPr>
              <w:spacing w:after="0" w:line="240" w:lineRule="auto"/>
              <w:rPr>
                <w:rFonts w:ascii="Calibri" w:eastAsia="Times New Roman" w:hAnsi="Calibri" w:cs="Calibri"/>
                <w:b/>
                <w:color w:val="000000"/>
                <w:sz w:val="20"/>
                <w:szCs w:val="20"/>
                <w:lang w:eastAsia="es-ES"/>
              </w:rPr>
            </w:pPr>
          </w:p>
        </w:tc>
        <w:tc>
          <w:tcPr>
            <w:tcW w:w="1253" w:type="pct"/>
            <w:tcBorders>
              <w:top w:val="single" w:sz="8" w:space="0" w:color="833C0B" w:themeColor="accent2" w:themeShade="80"/>
              <w:left w:val="single" w:sz="8" w:space="0" w:color="833C0B" w:themeColor="accent2" w:themeShade="80"/>
              <w:bottom w:val="single" w:sz="8" w:space="0" w:color="auto"/>
              <w:right w:val="single" w:sz="4" w:space="0" w:color="auto"/>
            </w:tcBorders>
            <w:shd w:val="clear" w:color="000000" w:fill="FFF2CC"/>
            <w:vAlign w:val="center"/>
            <w:hideMark/>
          </w:tcPr>
          <w:p w14:paraId="50675BB6" w14:textId="77777777" w:rsidR="00153F96" w:rsidRPr="007D6CDF" w:rsidRDefault="00153F96" w:rsidP="00FD4E84">
            <w:pPr>
              <w:spacing w:after="0" w:line="240" w:lineRule="auto"/>
              <w:ind w:left="289" w:hanging="289"/>
              <w:rPr>
                <w:rFonts w:ascii="Calibri" w:eastAsia="Times New Roman" w:hAnsi="Calibri" w:cs="Calibri"/>
                <w:sz w:val="20"/>
                <w:szCs w:val="20"/>
                <w:lang w:eastAsia="es-ES"/>
              </w:rPr>
            </w:pPr>
            <w:r w:rsidRPr="007D6CDF">
              <w:rPr>
                <w:rFonts w:ascii="Calibri" w:eastAsia="Times New Roman" w:hAnsi="Calibri" w:cs="Calibri"/>
                <w:sz w:val="20"/>
                <w:szCs w:val="20"/>
                <w:lang w:eastAsia="es-ES"/>
              </w:rPr>
              <w:t>E3 Alta Disponibilidad</w:t>
            </w:r>
          </w:p>
        </w:tc>
        <w:tc>
          <w:tcPr>
            <w:tcW w:w="202" w:type="pct"/>
            <w:tcBorders>
              <w:top w:val="single" w:sz="8" w:space="0" w:color="833C0B" w:themeColor="accent2" w:themeShade="80"/>
              <w:left w:val="nil"/>
              <w:bottom w:val="single" w:sz="8" w:space="0" w:color="auto"/>
              <w:right w:val="single" w:sz="4" w:space="0" w:color="auto"/>
            </w:tcBorders>
            <w:shd w:val="clear" w:color="000000" w:fill="FFF2CC"/>
            <w:noWrap/>
            <w:vAlign w:val="center"/>
            <w:hideMark/>
          </w:tcPr>
          <w:p w14:paraId="28362A2A"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N/A</w:t>
            </w:r>
          </w:p>
        </w:tc>
        <w:tc>
          <w:tcPr>
            <w:tcW w:w="206" w:type="pct"/>
            <w:tcBorders>
              <w:top w:val="single" w:sz="8" w:space="0" w:color="833C0B" w:themeColor="accent2" w:themeShade="80"/>
              <w:left w:val="nil"/>
              <w:bottom w:val="single" w:sz="8" w:space="0" w:color="auto"/>
              <w:right w:val="single" w:sz="4" w:space="0" w:color="auto"/>
            </w:tcBorders>
            <w:shd w:val="clear" w:color="000000" w:fill="FFF2CC"/>
            <w:noWrap/>
            <w:vAlign w:val="center"/>
            <w:hideMark/>
          </w:tcPr>
          <w:p w14:paraId="40FC46F4"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185" w:type="pct"/>
            <w:tcBorders>
              <w:top w:val="single" w:sz="8" w:space="0" w:color="833C0B" w:themeColor="accent2" w:themeShade="80"/>
              <w:left w:val="nil"/>
              <w:bottom w:val="single" w:sz="8" w:space="0" w:color="auto"/>
              <w:right w:val="single" w:sz="4" w:space="0" w:color="auto"/>
            </w:tcBorders>
            <w:shd w:val="clear" w:color="000000" w:fill="FFF2CC"/>
            <w:noWrap/>
            <w:vAlign w:val="center"/>
            <w:hideMark/>
          </w:tcPr>
          <w:p w14:paraId="293AD33D" w14:textId="77777777" w:rsidR="00153F96" w:rsidRPr="007D6CDF" w:rsidRDefault="00153F96" w:rsidP="00153F96">
            <w:pPr>
              <w:spacing w:after="0" w:line="240" w:lineRule="auto"/>
              <w:jc w:val="center"/>
              <w:rPr>
                <w:rFonts w:ascii="Calibri" w:eastAsia="Times New Roman" w:hAnsi="Calibri" w:cs="Calibri"/>
                <w:color w:val="000000"/>
                <w:sz w:val="20"/>
                <w:szCs w:val="20"/>
                <w:lang w:eastAsia="es-ES"/>
              </w:rPr>
            </w:pPr>
            <w:r w:rsidRPr="007D6CDF">
              <w:rPr>
                <w:rFonts w:ascii="Calibri" w:eastAsia="Times New Roman" w:hAnsi="Calibri" w:cs="Calibri"/>
                <w:color w:val="000000"/>
                <w:sz w:val="20"/>
                <w:szCs w:val="20"/>
                <w:lang w:eastAsia="es-ES"/>
              </w:rPr>
              <w:t>x</w:t>
            </w:r>
          </w:p>
        </w:tc>
        <w:tc>
          <w:tcPr>
            <w:tcW w:w="2727" w:type="pct"/>
            <w:vMerge/>
            <w:tcBorders>
              <w:top w:val="nil"/>
              <w:left w:val="single" w:sz="4" w:space="0" w:color="auto"/>
              <w:bottom w:val="single" w:sz="8" w:space="0" w:color="000000"/>
              <w:right w:val="single" w:sz="8" w:space="0" w:color="auto"/>
            </w:tcBorders>
            <w:vAlign w:val="center"/>
            <w:hideMark/>
          </w:tcPr>
          <w:p w14:paraId="50C68168" w14:textId="77777777" w:rsidR="00153F96" w:rsidRPr="00153F96" w:rsidRDefault="00153F96" w:rsidP="00153F96">
            <w:pPr>
              <w:spacing w:after="0" w:line="240" w:lineRule="auto"/>
              <w:rPr>
                <w:rFonts w:ascii="Calibri" w:eastAsia="Times New Roman" w:hAnsi="Calibri" w:cs="Calibri"/>
                <w:color w:val="000000"/>
                <w:sz w:val="18"/>
                <w:szCs w:val="18"/>
                <w:lang w:eastAsia="es-ES"/>
              </w:rPr>
            </w:pPr>
          </w:p>
        </w:tc>
      </w:tr>
    </w:tbl>
    <w:p w14:paraId="38C37C7B" w14:textId="05C8E5AE" w:rsidR="009638E5" w:rsidRDefault="009638E5">
      <w:pPr>
        <w:rPr>
          <w:rFonts w:eastAsia="Times New Roman" w:cstheme="minorHAnsi"/>
          <w:b/>
          <w:color w:val="000000"/>
          <w:lang w:eastAsia="es-ES"/>
        </w:rPr>
        <w:sectPr w:rsidR="009638E5" w:rsidSect="009638E5">
          <w:headerReference w:type="first" r:id="rId31"/>
          <w:pgSz w:w="16838" w:h="11906" w:orient="landscape" w:code="9"/>
          <w:pgMar w:top="1418" w:right="1814" w:bottom="1418" w:left="1134" w:header="567" w:footer="567" w:gutter="0"/>
          <w:cols w:space="708"/>
          <w:titlePg/>
          <w:docGrid w:linePitch="360"/>
        </w:sectPr>
      </w:pPr>
    </w:p>
    <w:p w14:paraId="23BA4618" w14:textId="2B9DD471" w:rsidR="0056038A" w:rsidRPr="00844BE5" w:rsidRDefault="0034700D" w:rsidP="0056038A">
      <w:pPr>
        <w:tabs>
          <w:tab w:val="left" w:pos="1276"/>
          <w:tab w:val="left" w:pos="1843"/>
        </w:tabs>
        <w:spacing w:before="120" w:after="120" w:line="240" w:lineRule="auto"/>
        <w:ind w:right="1134"/>
        <w:jc w:val="both"/>
        <w:rPr>
          <w:rFonts w:eastAsia="Times New Roman" w:cstheme="minorHAnsi"/>
          <w:b/>
          <w:lang w:eastAsia="es-ES"/>
        </w:rPr>
      </w:pPr>
      <w:r w:rsidRPr="00844BE5">
        <w:rPr>
          <w:rFonts w:eastAsia="Times New Roman" w:cstheme="minorHAnsi"/>
          <w:b/>
          <w:color w:val="000000"/>
          <w:lang w:eastAsia="es-ES"/>
        </w:rPr>
        <w:lastRenderedPageBreak/>
        <w:t>ANEXO</w:t>
      </w:r>
      <w:r w:rsidR="0056038A" w:rsidRPr="00844BE5">
        <w:rPr>
          <w:rFonts w:eastAsia="Times New Roman" w:cstheme="minorHAnsi"/>
          <w:b/>
          <w:color w:val="000000"/>
          <w:lang w:eastAsia="es-ES"/>
        </w:rPr>
        <w:t xml:space="preserve"> </w:t>
      </w:r>
      <w:r w:rsidR="00DF5F6F">
        <w:rPr>
          <w:rFonts w:eastAsia="Times New Roman" w:cstheme="minorHAnsi"/>
          <w:b/>
          <w:color w:val="000000"/>
          <w:lang w:eastAsia="es-ES"/>
        </w:rPr>
        <w:t>2</w:t>
      </w:r>
      <w:r w:rsidR="0056038A" w:rsidRPr="00844BE5">
        <w:rPr>
          <w:rFonts w:eastAsia="Times New Roman" w:cstheme="minorHAnsi"/>
          <w:b/>
          <w:color w:val="000000"/>
          <w:lang w:eastAsia="es-ES"/>
        </w:rPr>
        <w:tab/>
      </w:r>
      <w:r w:rsidR="00E42280" w:rsidRPr="00844BE5">
        <w:rPr>
          <w:rFonts w:eastAsia="Times New Roman" w:cstheme="minorHAnsi"/>
          <w:b/>
          <w:lang w:eastAsia="es-ES"/>
        </w:rPr>
        <w:t xml:space="preserve">Cuestiones a </w:t>
      </w:r>
      <w:r w:rsidR="00DF5F6F">
        <w:rPr>
          <w:rFonts w:eastAsia="Times New Roman" w:cstheme="minorHAnsi"/>
          <w:b/>
          <w:lang w:eastAsia="es-ES"/>
        </w:rPr>
        <w:t>revisar</w:t>
      </w:r>
      <w:r w:rsidR="00E42280" w:rsidRPr="00844BE5">
        <w:rPr>
          <w:rFonts w:eastAsia="Times New Roman" w:cstheme="minorHAnsi"/>
          <w:b/>
          <w:lang w:eastAsia="es-ES"/>
        </w:rPr>
        <w:t xml:space="preserve"> en los contratos de servicios cloud</w:t>
      </w:r>
    </w:p>
    <w:p w14:paraId="42D82FAA" w14:textId="1985FA5A" w:rsidR="00F74E24" w:rsidRPr="00ED4179" w:rsidRDefault="00F74E24" w:rsidP="00F74E24">
      <w:pPr>
        <w:autoSpaceDE w:val="0"/>
        <w:autoSpaceDN w:val="0"/>
        <w:adjustRightInd w:val="0"/>
        <w:spacing w:before="120" w:after="120" w:line="240" w:lineRule="auto"/>
        <w:jc w:val="both"/>
        <w:rPr>
          <w:rFonts w:eastAsia="Times New Roman" w:cstheme="minorHAnsi"/>
          <w:color w:val="000000"/>
          <w:sz w:val="20"/>
          <w:szCs w:val="20"/>
          <w:lang w:eastAsia="es-ES"/>
        </w:rPr>
      </w:pPr>
      <w:r w:rsidRPr="00ED4179">
        <w:rPr>
          <w:rFonts w:eastAsia="Times New Roman" w:cstheme="minorHAnsi"/>
          <w:color w:val="000000"/>
          <w:sz w:val="20"/>
          <w:szCs w:val="20"/>
          <w:lang w:eastAsia="es-ES"/>
        </w:rPr>
        <w:t xml:space="preserve">En el contrato se deben definir con precisión las características del servicio y las responsabilidades de las partes, además de establecer acuerdos de nivel de servicio para definir la calidad del servicio contratado. También recogerá los niveles de seguridad de la información y los servicios afectados, de forma que el proveedor aplique las medidas de seguridad oportunas. </w:t>
      </w:r>
    </w:p>
    <w:p w14:paraId="023CC8FC" w14:textId="0D498B16" w:rsidR="0034700D" w:rsidRPr="00ED4179" w:rsidRDefault="0080027A" w:rsidP="0034700D">
      <w:pPr>
        <w:autoSpaceDE w:val="0"/>
        <w:autoSpaceDN w:val="0"/>
        <w:adjustRightInd w:val="0"/>
        <w:spacing w:before="120" w:after="120" w:line="240" w:lineRule="auto"/>
        <w:jc w:val="both"/>
        <w:rPr>
          <w:rFonts w:eastAsia="Times New Roman" w:cstheme="minorHAnsi"/>
          <w:color w:val="000000"/>
          <w:sz w:val="20"/>
          <w:szCs w:val="20"/>
          <w:lang w:eastAsia="es-ES"/>
        </w:rPr>
      </w:pPr>
      <w:r>
        <w:rPr>
          <w:rFonts w:eastAsia="Times New Roman" w:cstheme="minorHAnsi"/>
          <w:color w:val="000000"/>
          <w:sz w:val="20"/>
          <w:szCs w:val="20"/>
          <w:lang w:eastAsia="es-ES"/>
        </w:rPr>
        <w:t>Los pliegos (PCA/PPT) deben contener</w:t>
      </w:r>
      <w:r w:rsidR="0034700D" w:rsidRPr="00ED4179">
        <w:rPr>
          <w:rFonts w:eastAsia="Times New Roman" w:cstheme="minorHAnsi"/>
          <w:color w:val="000000"/>
          <w:sz w:val="20"/>
          <w:szCs w:val="20"/>
          <w:lang w:eastAsia="es-ES"/>
        </w:rPr>
        <w:t>:</w:t>
      </w:r>
    </w:p>
    <w:p w14:paraId="70F71701" w14:textId="77777777" w:rsidR="0034700D" w:rsidRPr="00ED4179" w:rsidRDefault="0034700D" w:rsidP="00DB25A2">
      <w:pPr>
        <w:pStyle w:val="Prrafodelista"/>
        <w:numPr>
          <w:ilvl w:val="0"/>
          <w:numId w:val="16"/>
        </w:numPr>
        <w:autoSpaceDE w:val="0"/>
        <w:autoSpaceDN w:val="0"/>
        <w:adjustRightInd w:val="0"/>
        <w:spacing w:before="120" w:after="120" w:line="240" w:lineRule="auto"/>
        <w:ind w:left="284" w:hanging="284"/>
        <w:contextualSpacing w:val="0"/>
        <w:jc w:val="both"/>
        <w:rPr>
          <w:rFonts w:eastAsia="Times New Roman" w:cstheme="minorHAnsi"/>
          <w:color w:val="000000"/>
          <w:sz w:val="20"/>
          <w:szCs w:val="20"/>
          <w:lang w:eastAsia="es-ES"/>
        </w:rPr>
      </w:pPr>
      <w:r w:rsidRPr="00ED4179">
        <w:rPr>
          <w:rFonts w:eastAsia="Times New Roman" w:cstheme="minorHAnsi"/>
          <w:color w:val="000000"/>
          <w:sz w:val="20"/>
          <w:szCs w:val="20"/>
          <w:lang w:eastAsia="es-ES"/>
        </w:rPr>
        <w:t>Tipo de servicio: dependiendo de las necesidades de la organización se optará por un servicio IaaS, PaaS o SaaS.</w:t>
      </w:r>
    </w:p>
    <w:p w14:paraId="523A68B1" w14:textId="77777777" w:rsidR="0034700D" w:rsidRPr="00ED4179" w:rsidRDefault="0034700D" w:rsidP="00DB25A2">
      <w:pPr>
        <w:pStyle w:val="Prrafodelista"/>
        <w:numPr>
          <w:ilvl w:val="0"/>
          <w:numId w:val="16"/>
        </w:numPr>
        <w:autoSpaceDE w:val="0"/>
        <w:autoSpaceDN w:val="0"/>
        <w:adjustRightInd w:val="0"/>
        <w:spacing w:before="120" w:after="120" w:line="240" w:lineRule="auto"/>
        <w:ind w:left="284" w:hanging="284"/>
        <w:contextualSpacing w:val="0"/>
        <w:jc w:val="both"/>
        <w:rPr>
          <w:rFonts w:eastAsia="Times New Roman" w:cstheme="minorHAnsi"/>
          <w:color w:val="000000"/>
          <w:sz w:val="20"/>
          <w:szCs w:val="20"/>
          <w:lang w:eastAsia="es-ES"/>
        </w:rPr>
      </w:pPr>
      <w:r w:rsidRPr="00ED4179">
        <w:rPr>
          <w:rFonts w:eastAsia="Times New Roman" w:cstheme="minorHAnsi"/>
          <w:color w:val="000000"/>
          <w:sz w:val="20"/>
          <w:szCs w:val="20"/>
          <w:lang w:eastAsia="es-ES"/>
        </w:rPr>
        <w:t>Tipo de infraestructura requerida por la organización, en función del nivel de seguridad requerido.</w:t>
      </w:r>
    </w:p>
    <w:p w14:paraId="25CF2B4A" w14:textId="77777777" w:rsidR="0034700D" w:rsidRPr="00ED4179" w:rsidRDefault="0034700D" w:rsidP="00DB25A2">
      <w:pPr>
        <w:pStyle w:val="Prrafodelista"/>
        <w:numPr>
          <w:ilvl w:val="0"/>
          <w:numId w:val="16"/>
        </w:numPr>
        <w:autoSpaceDE w:val="0"/>
        <w:autoSpaceDN w:val="0"/>
        <w:adjustRightInd w:val="0"/>
        <w:spacing w:before="120" w:after="120" w:line="240" w:lineRule="auto"/>
        <w:ind w:left="284" w:hanging="284"/>
        <w:contextualSpacing w:val="0"/>
        <w:jc w:val="both"/>
        <w:rPr>
          <w:rFonts w:eastAsia="Times New Roman" w:cstheme="minorHAnsi"/>
          <w:color w:val="000000"/>
          <w:sz w:val="20"/>
          <w:szCs w:val="20"/>
          <w:lang w:eastAsia="es-ES"/>
        </w:rPr>
      </w:pPr>
      <w:r w:rsidRPr="00ED4179">
        <w:rPr>
          <w:rFonts w:eastAsia="Times New Roman" w:cstheme="minorHAnsi"/>
          <w:color w:val="000000"/>
          <w:sz w:val="20"/>
          <w:szCs w:val="20"/>
          <w:lang w:eastAsia="es-ES"/>
        </w:rPr>
        <w:t>Dimensionado del servicio: recursos que conformarán el servicio, sea cual sea el baremo para determinar la capacidad del servicio contratado (número de instancias software, de registros, usuarios concurrentes, cpu, datos…), ésta deberá figurara expresamente en el acuerdo, así como la capacidad de aumentar o disminuir la demanda y las herramientas para medir dicha capacidad de servicio y rendimiento.</w:t>
      </w:r>
    </w:p>
    <w:p w14:paraId="17BC7952" w14:textId="77777777" w:rsidR="0034700D" w:rsidRPr="00ED4179" w:rsidRDefault="0034700D" w:rsidP="00DB25A2">
      <w:pPr>
        <w:pStyle w:val="Prrafodelista"/>
        <w:numPr>
          <w:ilvl w:val="0"/>
          <w:numId w:val="16"/>
        </w:numPr>
        <w:autoSpaceDE w:val="0"/>
        <w:autoSpaceDN w:val="0"/>
        <w:adjustRightInd w:val="0"/>
        <w:spacing w:before="120" w:after="120" w:line="240" w:lineRule="auto"/>
        <w:ind w:left="284" w:hanging="284"/>
        <w:contextualSpacing w:val="0"/>
        <w:jc w:val="both"/>
        <w:rPr>
          <w:rFonts w:eastAsia="Times New Roman" w:cstheme="minorHAnsi"/>
          <w:color w:val="000000"/>
          <w:sz w:val="20"/>
          <w:szCs w:val="20"/>
          <w:lang w:eastAsia="es-ES"/>
        </w:rPr>
      </w:pPr>
      <w:r w:rsidRPr="00ED4179">
        <w:rPr>
          <w:rFonts w:eastAsia="Times New Roman" w:cstheme="minorHAnsi"/>
          <w:color w:val="000000"/>
          <w:sz w:val="20"/>
          <w:szCs w:val="20"/>
          <w:lang w:eastAsia="es-ES"/>
        </w:rPr>
        <w:t>Subcontratación: cuando el proveedor contrata con un tercero los servicios. Las obligaciones del proveedor en materia de seguridad se transmiten de forma transitiva a las partes subcontratadas, en particular los niveles de seguridad de la información y servicios y deberá atender a los requisitos derivados del ENS.</w:t>
      </w:r>
    </w:p>
    <w:p w14:paraId="3487048C" w14:textId="75FC8A30" w:rsidR="0034700D" w:rsidRPr="00ED4179" w:rsidRDefault="0034700D" w:rsidP="00DB25A2">
      <w:pPr>
        <w:pStyle w:val="Prrafodelista"/>
        <w:numPr>
          <w:ilvl w:val="0"/>
          <w:numId w:val="16"/>
        </w:numPr>
        <w:autoSpaceDE w:val="0"/>
        <w:autoSpaceDN w:val="0"/>
        <w:adjustRightInd w:val="0"/>
        <w:spacing w:before="120" w:after="120" w:line="240" w:lineRule="auto"/>
        <w:ind w:left="284" w:hanging="284"/>
        <w:contextualSpacing w:val="0"/>
        <w:jc w:val="both"/>
        <w:rPr>
          <w:rFonts w:eastAsia="Times New Roman" w:cstheme="minorHAnsi"/>
          <w:color w:val="000000"/>
          <w:sz w:val="20"/>
          <w:szCs w:val="20"/>
          <w:lang w:eastAsia="es-ES"/>
        </w:rPr>
      </w:pPr>
      <w:r w:rsidRPr="00ED4179">
        <w:rPr>
          <w:rFonts w:eastAsia="Times New Roman" w:cstheme="minorHAnsi"/>
          <w:color w:val="000000"/>
          <w:sz w:val="20"/>
          <w:szCs w:val="20"/>
          <w:lang w:eastAsia="es-ES"/>
        </w:rPr>
        <w:t>Protección de la información: El contrato debe determinar la propiedad de la información a la que va a tener acceso el proveedor, quien se comprometerá por contrato a mantener confidencialidad y a no divulgar o acceder de manera indebida y sin autorización expresa a dicha información. El proveedor queda obligado a no acceder ni utilizar la información a la que tenga acceso para fin alguno que no esté explicitado en el contrato o se autorice expresamente por escrito.</w:t>
      </w:r>
      <w:r w:rsidR="00B34ECE">
        <w:rPr>
          <w:rFonts w:eastAsia="Times New Roman" w:cstheme="minorHAnsi"/>
          <w:color w:val="000000"/>
          <w:sz w:val="20"/>
          <w:szCs w:val="20"/>
          <w:lang w:eastAsia="es-ES"/>
        </w:rPr>
        <w:t xml:space="preserve"> Cláusula de encargado del tratamiento adecuada a la RGPD.</w:t>
      </w:r>
    </w:p>
    <w:p w14:paraId="3AC64CD2" w14:textId="77777777" w:rsidR="0034700D" w:rsidRPr="00ED4179" w:rsidRDefault="0034700D" w:rsidP="00DB25A2">
      <w:pPr>
        <w:pStyle w:val="Default"/>
        <w:numPr>
          <w:ilvl w:val="0"/>
          <w:numId w:val="16"/>
        </w:numPr>
        <w:spacing w:before="120" w:after="120"/>
        <w:ind w:left="284" w:hanging="284"/>
        <w:jc w:val="both"/>
        <w:rPr>
          <w:rFonts w:asciiTheme="minorHAnsi" w:eastAsia="Times New Roman" w:hAnsiTheme="minorHAnsi" w:cstheme="minorHAnsi"/>
          <w:sz w:val="20"/>
          <w:szCs w:val="20"/>
          <w:lang w:eastAsia="es-ES"/>
        </w:rPr>
      </w:pPr>
      <w:r w:rsidRPr="00ED4179">
        <w:rPr>
          <w:rFonts w:asciiTheme="minorHAnsi" w:eastAsia="Times New Roman" w:hAnsiTheme="minorHAnsi" w:cstheme="minorHAnsi"/>
          <w:sz w:val="20"/>
          <w:szCs w:val="20"/>
          <w:lang w:eastAsia="es-ES"/>
        </w:rPr>
        <w:t>Acuerdos de nivel de servicio o SLA (Service Level Agreement): deberán acordarse unos niveles de servicio que reflejen aspectos referentes a capacidad (desviaciones de carga asumidas por el proveedor y tiempos de notificación cuando se detecte insuficiencia de recursos), disponibilidad (en función de la criticidad del servicio), continuidad (mediante la definición de tiempos de recuperación), gestión de incidentes y gestión de cambio. Además, de cada SLA, se definirán:</w:t>
      </w:r>
    </w:p>
    <w:p w14:paraId="647DE596" w14:textId="77777777" w:rsidR="0034700D" w:rsidRPr="00ED4179" w:rsidRDefault="0034700D" w:rsidP="006F0AB3">
      <w:pPr>
        <w:pStyle w:val="Default"/>
        <w:numPr>
          <w:ilvl w:val="1"/>
          <w:numId w:val="16"/>
        </w:numPr>
        <w:ind w:left="1434" w:hanging="357"/>
        <w:jc w:val="both"/>
        <w:rPr>
          <w:rFonts w:asciiTheme="minorHAnsi" w:eastAsia="Times New Roman" w:hAnsiTheme="minorHAnsi" w:cstheme="minorHAnsi"/>
          <w:sz w:val="20"/>
          <w:szCs w:val="20"/>
          <w:lang w:eastAsia="es-ES"/>
        </w:rPr>
      </w:pPr>
      <w:r w:rsidRPr="00ED4179">
        <w:rPr>
          <w:rFonts w:asciiTheme="minorHAnsi" w:eastAsia="Times New Roman" w:hAnsiTheme="minorHAnsi" w:cstheme="minorHAnsi"/>
          <w:sz w:val="20"/>
          <w:szCs w:val="20"/>
          <w:lang w:eastAsia="es-ES"/>
        </w:rPr>
        <w:t>Identificador</w:t>
      </w:r>
    </w:p>
    <w:p w14:paraId="4CDD8867" w14:textId="77777777" w:rsidR="0034700D" w:rsidRPr="00ED4179" w:rsidRDefault="0034700D" w:rsidP="006F0AB3">
      <w:pPr>
        <w:pStyle w:val="Default"/>
        <w:numPr>
          <w:ilvl w:val="1"/>
          <w:numId w:val="16"/>
        </w:numPr>
        <w:ind w:left="1434" w:hanging="357"/>
        <w:jc w:val="both"/>
        <w:rPr>
          <w:rFonts w:asciiTheme="minorHAnsi" w:eastAsia="Times New Roman" w:hAnsiTheme="minorHAnsi" w:cstheme="minorHAnsi"/>
          <w:sz w:val="20"/>
          <w:szCs w:val="20"/>
          <w:lang w:eastAsia="es-ES"/>
        </w:rPr>
      </w:pPr>
      <w:r w:rsidRPr="00ED4179">
        <w:rPr>
          <w:rFonts w:asciiTheme="minorHAnsi" w:eastAsia="Times New Roman" w:hAnsiTheme="minorHAnsi" w:cstheme="minorHAnsi"/>
          <w:sz w:val="20"/>
          <w:szCs w:val="20"/>
          <w:lang w:eastAsia="es-ES"/>
        </w:rPr>
        <w:t>Responsabilidades</w:t>
      </w:r>
    </w:p>
    <w:p w14:paraId="69C6BA3F" w14:textId="77777777" w:rsidR="0034700D" w:rsidRPr="00ED4179" w:rsidRDefault="0034700D" w:rsidP="006F0AB3">
      <w:pPr>
        <w:pStyle w:val="Default"/>
        <w:numPr>
          <w:ilvl w:val="1"/>
          <w:numId w:val="16"/>
        </w:numPr>
        <w:ind w:left="1434" w:hanging="357"/>
        <w:jc w:val="both"/>
        <w:rPr>
          <w:rFonts w:asciiTheme="minorHAnsi" w:eastAsia="Times New Roman" w:hAnsiTheme="minorHAnsi" w:cstheme="minorHAnsi"/>
          <w:sz w:val="20"/>
          <w:szCs w:val="20"/>
          <w:lang w:eastAsia="es-ES"/>
        </w:rPr>
      </w:pPr>
      <w:r w:rsidRPr="00ED4179">
        <w:rPr>
          <w:rFonts w:asciiTheme="minorHAnsi" w:eastAsia="Times New Roman" w:hAnsiTheme="minorHAnsi" w:cstheme="minorHAnsi"/>
          <w:sz w:val="20"/>
          <w:szCs w:val="20"/>
          <w:lang w:eastAsia="es-ES"/>
        </w:rPr>
        <w:t>Periodicidad de captura de datos e informes de cumplimiento</w:t>
      </w:r>
    </w:p>
    <w:p w14:paraId="07E3F322" w14:textId="77777777" w:rsidR="0034700D" w:rsidRPr="00ED4179" w:rsidRDefault="0034700D" w:rsidP="006F0AB3">
      <w:pPr>
        <w:pStyle w:val="Default"/>
        <w:numPr>
          <w:ilvl w:val="1"/>
          <w:numId w:val="16"/>
        </w:numPr>
        <w:ind w:left="1434" w:hanging="357"/>
        <w:jc w:val="both"/>
        <w:rPr>
          <w:rFonts w:asciiTheme="minorHAnsi" w:eastAsia="Times New Roman" w:hAnsiTheme="minorHAnsi" w:cstheme="minorHAnsi"/>
          <w:sz w:val="20"/>
          <w:szCs w:val="20"/>
          <w:lang w:eastAsia="es-ES"/>
        </w:rPr>
      </w:pPr>
      <w:r w:rsidRPr="00ED4179">
        <w:rPr>
          <w:rFonts w:asciiTheme="minorHAnsi" w:eastAsia="Times New Roman" w:hAnsiTheme="minorHAnsi" w:cstheme="minorHAnsi"/>
          <w:sz w:val="20"/>
          <w:szCs w:val="20"/>
          <w:lang w:eastAsia="es-ES"/>
        </w:rPr>
        <w:t>Umbrales que disparan situaciones de aviso y alarma</w:t>
      </w:r>
    </w:p>
    <w:p w14:paraId="4EF31693" w14:textId="77777777" w:rsidR="0034700D" w:rsidRPr="00ED4179" w:rsidRDefault="0034700D" w:rsidP="006F0AB3">
      <w:pPr>
        <w:pStyle w:val="Default"/>
        <w:numPr>
          <w:ilvl w:val="1"/>
          <w:numId w:val="16"/>
        </w:numPr>
        <w:ind w:left="1434" w:hanging="357"/>
        <w:jc w:val="both"/>
        <w:rPr>
          <w:rFonts w:asciiTheme="minorHAnsi" w:eastAsia="Times New Roman" w:hAnsiTheme="minorHAnsi" w:cstheme="minorHAnsi"/>
          <w:sz w:val="20"/>
          <w:szCs w:val="20"/>
          <w:lang w:eastAsia="es-ES"/>
        </w:rPr>
      </w:pPr>
      <w:r w:rsidRPr="00ED4179">
        <w:rPr>
          <w:rFonts w:asciiTheme="minorHAnsi" w:eastAsia="Times New Roman" w:hAnsiTheme="minorHAnsi" w:cstheme="minorHAnsi"/>
          <w:sz w:val="20"/>
          <w:szCs w:val="20"/>
          <w:lang w:eastAsia="es-ES"/>
        </w:rPr>
        <w:t>Consecuencias de incumplimiento</w:t>
      </w:r>
    </w:p>
    <w:p w14:paraId="5EB5DA38" w14:textId="77777777" w:rsidR="0034700D" w:rsidRPr="00ED4179" w:rsidRDefault="0034700D" w:rsidP="00DB25A2">
      <w:pPr>
        <w:pStyle w:val="Prrafodelista"/>
        <w:numPr>
          <w:ilvl w:val="0"/>
          <w:numId w:val="16"/>
        </w:numPr>
        <w:autoSpaceDE w:val="0"/>
        <w:autoSpaceDN w:val="0"/>
        <w:adjustRightInd w:val="0"/>
        <w:spacing w:before="120" w:after="120" w:line="240" w:lineRule="auto"/>
        <w:ind w:left="284" w:hanging="284"/>
        <w:contextualSpacing w:val="0"/>
        <w:jc w:val="both"/>
        <w:rPr>
          <w:rFonts w:eastAsia="Times New Roman" w:cstheme="minorHAnsi"/>
          <w:color w:val="000000"/>
          <w:sz w:val="20"/>
          <w:szCs w:val="20"/>
          <w:lang w:eastAsia="es-ES"/>
        </w:rPr>
      </w:pPr>
      <w:r w:rsidRPr="00ED4179">
        <w:rPr>
          <w:rFonts w:eastAsia="Times New Roman" w:cstheme="minorHAnsi"/>
          <w:color w:val="000000"/>
          <w:sz w:val="20"/>
          <w:szCs w:val="20"/>
          <w:lang w:eastAsia="es-ES"/>
        </w:rPr>
        <w:t>Mecanismos de acceso al servicio, que identifiquen el acceso de usuarios y administradores, que garanticen la confidencialidad y la integridad de la información.</w:t>
      </w:r>
    </w:p>
    <w:p w14:paraId="018187DD" w14:textId="77777777" w:rsidR="0034700D" w:rsidRPr="00ED4179" w:rsidRDefault="0034700D" w:rsidP="00DB25A2">
      <w:pPr>
        <w:pStyle w:val="Prrafodelista"/>
        <w:numPr>
          <w:ilvl w:val="0"/>
          <w:numId w:val="16"/>
        </w:numPr>
        <w:autoSpaceDE w:val="0"/>
        <w:autoSpaceDN w:val="0"/>
        <w:adjustRightInd w:val="0"/>
        <w:spacing w:before="120" w:after="120" w:line="240" w:lineRule="auto"/>
        <w:ind w:left="284" w:hanging="284"/>
        <w:contextualSpacing w:val="0"/>
        <w:jc w:val="both"/>
        <w:rPr>
          <w:rFonts w:eastAsia="Times New Roman" w:cstheme="minorHAnsi"/>
          <w:color w:val="000000"/>
          <w:sz w:val="20"/>
          <w:szCs w:val="20"/>
          <w:lang w:eastAsia="es-ES"/>
        </w:rPr>
      </w:pPr>
      <w:r w:rsidRPr="00ED4179">
        <w:rPr>
          <w:rFonts w:eastAsia="Times New Roman" w:cstheme="minorHAnsi"/>
          <w:color w:val="000000"/>
          <w:sz w:val="20"/>
          <w:szCs w:val="20"/>
          <w:lang w:eastAsia="es-ES"/>
        </w:rPr>
        <w:t>Condicionantes geográficos, en función de la ubicación geográfica de los servidores y la información.</w:t>
      </w:r>
    </w:p>
    <w:p w14:paraId="6145E3E1" w14:textId="77777777" w:rsidR="0034700D" w:rsidRPr="00ED4179" w:rsidRDefault="0034700D" w:rsidP="00DB25A2">
      <w:pPr>
        <w:pStyle w:val="Prrafodelista"/>
        <w:numPr>
          <w:ilvl w:val="0"/>
          <w:numId w:val="16"/>
        </w:numPr>
        <w:autoSpaceDE w:val="0"/>
        <w:autoSpaceDN w:val="0"/>
        <w:adjustRightInd w:val="0"/>
        <w:spacing w:before="120" w:after="120" w:line="240" w:lineRule="auto"/>
        <w:ind w:left="284" w:hanging="284"/>
        <w:contextualSpacing w:val="0"/>
        <w:jc w:val="both"/>
        <w:rPr>
          <w:rFonts w:eastAsia="Times New Roman" w:cstheme="minorHAnsi"/>
          <w:color w:val="000000"/>
          <w:sz w:val="20"/>
          <w:szCs w:val="20"/>
          <w:lang w:eastAsia="es-ES"/>
        </w:rPr>
      </w:pPr>
      <w:r w:rsidRPr="00ED4179">
        <w:rPr>
          <w:rFonts w:eastAsia="Times New Roman" w:cstheme="minorHAnsi"/>
          <w:color w:val="000000"/>
          <w:sz w:val="20"/>
          <w:szCs w:val="20"/>
          <w:lang w:eastAsia="es-ES"/>
        </w:rPr>
        <w:t>Responsabilidades y obligaciones: El contrato definirá los roles de las personas involucradas en la prestación del servicio, en el organismo y en el CSP. Ambas partes deberán considerar las siguientes responsabilidades mínimas:</w:t>
      </w:r>
    </w:p>
    <w:p w14:paraId="51440A3A" w14:textId="77777777" w:rsidR="0034700D" w:rsidRPr="00ED4179" w:rsidRDefault="0034700D" w:rsidP="00863692">
      <w:pPr>
        <w:pStyle w:val="Default"/>
        <w:numPr>
          <w:ilvl w:val="1"/>
          <w:numId w:val="16"/>
        </w:numPr>
        <w:ind w:left="1434" w:hanging="357"/>
        <w:jc w:val="both"/>
        <w:rPr>
          <w:rFonts w:asciiTheme="minorHAnsi" w:eastAsia="Times New Roman" w:hAnsiTheme="minorHAnsi" w:cstheme="minorHAnsi"/>
          <w:sz w:val="20"/>
          <w:szCs w:val="20"/>
          <w:lang w:eastAsia="es-ES"/>
        </w:rPr>
      </w:pPr>
      <w:r w:rsidRPr="00ED4179">
        <w:rPr>
          <w:rFonts w:asciiTheme="minorHAnsi" w:eastAsia="Times New Roman" w:hAnsiTheme="minorHAnsi" w:cstheme="minorHAnsi"/>
          <w:sz w:val="20"/>
          <w:szCs w:val="20"/>
          <w:lang w:eastAsia="es-ES"/>
        </w:rPr>
        <w:t xml:space="preserve">Responsable de la seguridad </w:t>
      </w:r>
    </w:p>
    <w:p w14:paraId="3A49300F" w14:textId="77777777" w:rsidR="0034700D" w:rsidRPr="00ED4179" w:rsidRDefault="0034700D" w:rsidP="00863692">
      <w:pPr>
        <w:pStyle w:val="Default"/>
        <w:numPr>
          <w:ilvl w:val="1"/>
          <w:numId w:val="16"/>
        </w:numPr>
        <w:ind w:left="1434" w:hanging="357"/>
        <w:jc w:val="both"/>
        <w:rPr>
          <w:rFonts w:asciiTheme="minorHAnsi" w:eastAsia="Times New Roman" w:hAnsiTheme="minorHAnsi" w:cstheme="minorHAnsi"/>
          <w:sz w:val="20"/>
          <w:szCs w:val="20"/>
          <w:lang w:eastAsia="es-ES"/>
        </w:rPr>
      </w:pPr>
      <w:r w:rsidRPr="00ED4179">
        <w:rPr>
          <w:rFonts w:asciiTheme="minorHAnsi" w:eastAsia="Times New Roman" w:hAnsiTheme="minorHAnsi" w:cstheme="minorHAnsi"/>
          <w:sz w:val="20"/>
          <w:szCs w:val="20"/>
          <w:lang w:eastAsia="es-ES"/>
        </w:rPr>
        <w:t xml:space="preserve">Persona de contacto para incidentes de seguridad </w:t>
      </w:r>
    </w:p>
    <w:p w14:paraId="24C572E3" w14:textId="77777777" w:rsidR="0034700D" w:rsidRPr="00ED4179" w:rsidRDefault="0034700D" w:rsidP="00863692">
      <w:pPr>
        <w:pStyle w:val="Default"/>
        <w:numPr>
          <w:ilvl w:val="1"/>
          <w:numId w:val="16"/>
        </w:numPr>
        <w:ind w:left="1434" w:hanging="357"/>
        <w:jc w:val="both"/>
        <w:rPr>
          <w:rFonts w:asciiTheme="minorHAnsi" w:eastAsia="Times New Roman" w:hAnsiTheme="minorHAnsi" w:cstheme="minorHAnsi"/>
          <w:sz w:val="20"/>
          <w:szCs w:val="20"/>
          <w:lang w:eastAsia="es-ES"/>
        </w:rPr>
      </w:pPr>
      <w:r w:rsidRPr="00ED4179">
        <w:rPr>
          <w:rFonts w:asciiTheme="minorHAnsi" w:eastAsia="Times New Roman" w:hAnsiTheme="minorHAnsi" w:cstheme="minorHAnsi"/>
          <w:sz w:val="20"/>
          <w:szCs w:val="20"/>
          <w:lang w:eastAsia="es-ES"/>
        </w:rPr>
        <w:t xml:space="preserve">Persona de contacto para cambios y mantenimiento de sistemas </w:t>
      </w:r>
    </w:p>
    <w:p w14:paraId="45D53439" w14:textId="77777777" w:rsidR="0034700D" w:rsidRPr="00ED4179" w:rsidRDefault="0034700D" w:rsidP="00863692">
      <w:pPr>
        <w:pStyle w:val="Default"/>
        <w:numPr>
          <w:ilvl w:val="1"/>
          <w:numId w:val="16"/>
        </w:numPr>
        <w:ind w:left="1434" w:hanging="357"/>
        <w:jc w:val="both"/>
        <w:rPr>
          <w:rFonts w:asciiTheme="minorHAnsi" w:eastAsia="Times New Roman" w:hAnsiTheme="minorHAnsi" w:cstheme="minorHAnsi"/>
          <w:sz w:val="20"/>
          <w:szCs w:val="20"/>
          <w:lang w:eastAsia="es-ES"/>
        </w:rPr>
      </w:pPr>
      <w:r w:rsidRPr="00ED4179">
        <w:rPr>
          <w:rFonts w:asciiTheme="minorHAnsi" w:eastAsia="Times New Roman" w:hAnsiTheme="minorHAnsi" w:cstheme="minorHAnsi"/>
          <w:sz w:val="20"/>
          <w:szCs w:val="20"/>
          <w:lang w:eastAsia="es-ES"/>
        </w:rPr>
        <w:t xml:space="preserve">Persona de contacto para incidencias relativas a los indicadores de servicio (SLA) </w:t>
      </w:r>
    </w:p>
    <w:p w14:paraId="1F414CAB" w14:textId="77777777" w:rsidR="0034700D" w:rsidRPr="00ED4179" w:rsidRDefault="0034700D" w:rsidP="00863692">
      <w:pPr>
        <w:pStyle w:val="Default"/>
        <w:numPr>
          <w:ilvl w:val="1"/>
          <w:numId w:val="16"/>
        </w:numPr>
        <w:ind w:left="1434" w:hanging="357"/>
        <w:jc w:val="both"/>
        <w:rPr>
          <w:rFonts w:asciiTheme="minorHAnsi" w:eastAsia="Times New Roman" w:hAnsiTheme="minorHAnsi" w:cstheme="minorHAnsi"/>
          <w:sz w:val="20"/>
          <w:szCs w:val="20"/>
          <w:lang w:eastAsia="es-ES"/>
        </w:rPr>
      </w:pPr>
      <w:r w:rsidRPr="00ED4179">
        <w:rPr>
          <w:rFonts w:asciiTheme="minorHAnsi" w:eastAsia="Times New Roman" w:hAnsiTheme="minorHAnsi" w:cstheme="minorHAnsi"/>
          <w:sz w:val="20"/>
          <w:szCs w:val="20"/>
          <w:lang w:eastAsia="es-ES"/>
        </w:rPr>
        <w:t xml:space="preserve">Persona de contacto para aspectos contractuales </w:t>
      </w:r>
    </w:p>
    <w:p w14:paraId="27270D6C" w14:textId="77777777" w:rsidR="0034700D" w:rsidRPr="00ED4179" w:rsidRDefault="0034700D" w:rsidP="00863692">
      <w:pPr>
        <w:pStyle w:val="Default"/>
        <w:numPr>
          <w:ilvl w:val="1"/>
          <w:numId w:val="16"/>
        </w:numPr>
        <w:ind w:left="1434" w:hanging="357"/>
        <w:jc w:val="both"/>
        <w:rPr>
          <w:rFonts w:asciiTheme="minorHAnsi" w:eastAsia="Times New Roman" w:hAnsiTheme="minorHAnsi" w:cstheme="minorHAnsi"/>
          <w:sz w:val="20"/>
          <w:szCs w:val="20"/>
          <w:lang w:eastAsia="es-ES"/>
        </w:rPr>
      </w:pPr>
      <w:r w:rsidRPr="00ED4179">
        <w:rPr>
          <w:rFonts w:asciiTheme="minorHAnsi" w:eastAsia="Times New Roman" w:hAnsiTheme="minorHAnsi" w:cstheme="minorHAnsi"/>
          <w:sz w:val="20"/>
          <w:szCs w:val="20"/>
          <w:lang w:eastAsia="es-ES"/>
        </w:rPr>
        <w:t xml:space="preserve">Persona de contacto para temas jurídicos y regulatorios, en particular en lo relativo a datos de carácter personal </w:t>
      </w:r>
    </w:p>
    <w:p w14:paraId="119C40D6" w14:textId="0AA143DF" w:rsidR="0080027A" w:rsidRPr="00AE289D" w:rsidRDefault="0034700D" w:rsidP="00DB25A2">
      <w:pPr>
        <w:pStyle w:val="Prrafodelista"/>
        <w:numPr>
          <w:ilvl w:val="0"/>
          <w:numId w:val="16"/>
        </w:numPr>
        <w:autoSpaceDE w:val="0"/>
        <w:autoSpaceDN w:val="0"/>
        <w:adjustRightInd w:val="0"/>
        <w:spacing w:before="120" w:after="120" w:line="240" w:lineRule="auto"/>
        <w:ind w:left="284" w:hanging="284"/>
        <w:contextualSpacing w:val="0"/>
        <w:jc w:val="both"/>
        <w:rPr>
          <w:rFonts w:eastAsia="Times New Roman" w:cstheme="minorHAnsi"/>
          <w:color w:val="000000"/>
          <w:sz w:val="20"/>
          <w:szCs w:val="20"/>
          <w:lang w:eastAsia="es-ES"/>
        </w:rPr>
      </w:pPr>
      <w:r w:rsidRPr="00AE289D">
        <w:rPr>
          <w:rFonts w:eastAsia="Times New Roman" w:cstheme="minorHAnsi"/>
          <w:color w:val="000000"/>
          <w:sz w:val="20"/>
          <w:szCs w:val="20"/>
          <w:lang w:eastAsia="es-ES"/>
        </w:rPr>
        <w:t>Requisitos legales y cumplimiento del ENS</w:t>
      </w:r>
      <w:r w:rsidR="0080027A" w:rsidRPr="00AE289D">
        <w:rPr>
          <w:rFonts w:eastAsia="Times New Roman" w:cstheme="minorHAnsi"/>
          <w:color w:val="000000"/>
          <w:sz w:val="20"/>
          <w:szCs w:val="20"/>
          <w:lang w:eastAsia="es-ES"/>
        </w:rPr>
        <w:t>:</w:t>
      </w:r>
      <w:r w:rsidR="00AE289D">
        <w:rPr>
          <w:rFonts w:eastAsia="Times New Roman" w:cstheme="minorHAnsi"/>
          <w:color w:val="000000"/>
          <w:sz w:val="20"/>
          <w:szCs w:val="20"/>
          <w:lang w:eastAsia="es-ES"/>
        </w:rPr>
        <w:t xml:space="preserve"> </w:t>
      </w:r>
      <w:r w:rsidR="0080027A" w:rsidRPr="00AE289D">
        <w:rPr>
          <w:rFonts w:eastAsia="Times New Roman" w:cstheme="minorHAnsi"/>
          <w:color w:val="000000"/>
          <w:sz w:val="20"/>
          <w:szCs w:val="20"/>
          <w:lang w:eastAsia="es-ES"/>
        </w:rPr>
        <w:t xml:space="preserve">En los casos en que un tercero preste un servicio en régimen de concesión, encomienda de gestión o contrato, las medidas de seguridad se corresponderán con las de la Administración Pública </w:t>
      </w:r>
      <w:r w:rsidR="00AE289D">
        <w:rPr>
          <w:rFonts w:eastAsia="Times New Roman" w:cstheme="minorHAnsi"/>
          <w:color w:val="000000"/>
          <w:sz w:val="20"/>
          <w:szCs w:val="20"/>
          <w:lang w:eastAsia="es-ES"/>
        </w:rPr>
        <w:t>de origen y se ajustarán al ENS.</w:t>
      </w:r>
    </w:p>
    <w:p w14:paraId="3050DAA4" w14:textId="59A171C5" w:rsidR="0080027A" w:rsidRPr="00AE289D" w:rsidRDefault="0080027A" w:rsidP="00DB25A2">
      <w:pPr>
        <w:pStyle w:val="Prrafodelista"/>
        <w:numPr>
          <w:ilvl w:val="0"/>
          <w:numId w:val="16"/>
        </w:numPr>
        <w:autoSpaceDE w:val="0"/>
        <w:autoSpaceDN w:val="0"/>
        <w:adjustRightInd w:val="0"/>
        <w:spacing w:before="120" w:after="0" w:line="240" w:lineRule="auto"/>
        <w:ind w:left="284" w:hanging="284"/>
        <w:contextualSpacing w:val="0"/>
        <w:jc w:val="both"/>
        <w:rPr>
          <w:rFonts w:ascii="Calibri" w:eastAsia="Times New Roman" w:hAnsi="Calibri" w:cs="Calibri"/>
          <w:color w:val="000000"/>
          <w:sz w:val="20"/>
          <w:szCs w:val="20"/>
          <w:lang w:eastAsia="es-ES"/>
        </w:rPr>
      </w:pPr>
      <w:r w:rsidRPr="00AE289D">
        <w:rPr>
          <w:rFonts w:eastAsia="Times New Roman" w:cstheme="minorHAnsi"/>
          <w:color w:val="000000"/>
          <w:sz w:val="20"/>
          <w:szCs w:val="20"/>
          <w:lang w:eastAsia="es-ES"/>
        </w:rPr>
        <w:lastRenderedPageBreak/>
        <w:t>Derecho de auditoria:</w:t>
      </w:r>
      <w:r w:rsidR="00AE289D">
        <w:rPr>
          <w:rFonts w:eastAsia="Times New Roman" w:cstheme="minorHAnsi"/>
          <w:color w:val="000000"/>
          <w:sz w:val="20"/>
          <w:szCs w:val="20"/>
          <w:lang w:eastAsia="es-ES"/>
        </w:rPr>
        <w:t xml:space="preserve"> </w:t>
      </w:r>
      <w:r w:rsidRPr="00AE289D">
        <w:rPr>
          <w:rFonts w:ascii="Calibri" w:eastAsia="Times New Roman" w:hAnsi="Calibri" w:cs="Calibri"/>
          <w:color w:val="000000"/>
          <w:sz w:val="20"/>
          <w:szCs w:val="20"/>
          <w:lang w:eastAsia="es-ES"/>
        </w:rPr>
        <w:t>Para garantizar el cumplimiento de las medidas de seguridad aplicables</w:t>
      </w:r>
      <w:r w:rsidR="00AD356C">
        <w:rPr>
          <w:rFonts w:ascii="Calibri" w:eastAsia="Times New Roman" w:hAnsi="Calibri" w:cs="Calibri"/>
          <w:color w:val="000000"/>
          <w:sz w:val="20"/>
          <w:szCs w:val="20"/>
          <w:lang w:eastAsia="es-ES"/>
        </w:rPr>
        <w:t>,</w:t>
      </w:r>
      <w:r w:rsidRPr="00AE289D">
        <w:rPr>
          <w:rFonts w:ascii="Calibri" w:eastAsia="Times New Roman" w:hAnsi="Calibri" w:cs="Calibri"/>
          <w:color w:val="000000"/>
          <w:sz w:val="20"/>
          <w:szCs w:val="20"/>
          <w:lang w:eastAsia="es-ES"/>
        </w:rPr>
        <w:t xml:space="preserve"> la entidad deberá disponer del </w:t>
      </w:r>
      <w:r w:rsidRPr="00AE289D">
        <w:rPr>
          <w:rFonts w:ascii="Calibri" w:eastAsia="Times New Roman" w:hAnsi="Calibri" w:cs="Calibri"/>
          <w:b/>
          <w:color w:val="000000"/>
          <w:sz w:val="20"/>
          <w:szCs w:val="20"/>
          <w:lang w:eastAsia="es-ES"/>
        </w:rPr>
        <w:t>derecho de auditoría sobre el CSP</w:t>
      </w:r>
      <w:r w:rsidRPr="00AE289D">
        <w:rPr>
          <w:rFonts w:ascii="Calibri" w:eastAsia="Times New Roman" w:hAnsi="Calibri" w:cs="Calibri"/>
          <w:color w:val="000000"/>
          <w:sz w:val="20"/>
          <w:szCs w:val="20"/>
          <w:lang w:eastAsia="es-ES"/>
        </w:rPr>
        <w:t xml:space="preserve"> o exigir:</w:t>
      </w:r>
    </w:p>
    <w:p w14:paraId="28E0A5B6" w14:textId="77777777" w:rsidR="0080027A" w:rsidRPr="0080027A" w:rsidRDefault="0080027A" w:rsidP="00863692">
      <w:pPr>
        <w:pStyle w:val="Default"/>
        <w:numPr>
          <w:ilvl w:val="1"/>
          <w:numId w:val="16"/>
        </w:numPr>
        <w:ind w:left="1434" w:hanging="357"/>
        <w:jc w:val="both"/>
        <w:rPr>
          <w:rFonts w:asciiTheme="minorHAnsi" w:eastAsia="Times New Roman" w:hAnsiTheme="minorHAnsi" w:cstheme="minorHAnsi"/>
          <w:sz w:val="20"/>
          <w:szCs w:val="20"/>
          <w:lang w:eastAsia="es-ES"/>
        </w:rPr>
      </w:pPr>
      <w:r w:rsidRPr="0080027A">
        <w:rPr>
          <w:rFonts w:asciiTheme="minorHAnsi" w:eastAsia="Times New Roman" w:hAnsiTheme="minorHAnsi" w:cstheme="minorHAnsi"/>
          <w:sz w:val="20"/>
          <w:szCs w:val="20"/>
          <w:lang w:eastAsia="es-ES"/>
        </w:rPr>
        <w:t>Declaración de aplicabilidad de medidas a aplicar.</w:t>
      </w:r>
    </w:p>
    <w:p w14:paraId="4D4212AE" w14:textId="77777777" w:rsidR="0080027A" w:rsidRPr="0080027A" w:rsidRDefault="0080027A" w:rsidP="00863692">
      <w:pPr>
        <w:pStyle w:val="Default"/>
        <w:numPr>
          <w:ilvl w:val="1"/>
          <w:numId w:val="16"/>
        </w:numPr>
        <w:ind w:left="1434" w:hanging="357"/>
        <w:jc w:val="both"/>
        <w:rPr>
          <w:rFonts w:asciiTheme="minorHAnsi" w:eastAsia="Times New Roman" w:hAnsiTheme="minorHAnsi" w:cstheme="minorHAnsi"/>
          <w:sz w:val="20"/>
          <w:szCs w:val="20"/>
          <w:lang w:eastAsia="es-ES"/>
        </w:rPr>
      </w:pPr>
      <w:r w:rsidRPr="0080027A">
        <w:rPr>
          <w:rFonts w:asciiTheme="minorHAnsi" w:eastAsia="Times New Roman" w:hAnsiTheme="minorHAnsi" w:cstheme="minorHAnsi"/>
          <w:sz w:val="20"/>
          <w:szCs w:val="20"/>
          <w:lang w:eastAsia="es-ES"/>
        </w:rPr>
        <w:t>Auditoría que verifique con evidencias el cumplimiento de las medidas del Anexo II del ENS que sean de aplicación de acuerdo con el nivel del sistema (el ENS es aplicable a una empresa privada contratada por un ente público).</w:t>
      </w:r>
    </w:p>
    <w:p w14:paraId="7AD375B3" w14:textId="77777777" w:rsidR="0080027A" w:rsidRPr="0080027A" w:rsidRDefault="0080027A" w:rsidP="00863692">
      <w:pPr>
        <w:pStyle w:val="Default"/>
        <w:numPr>
          <w:ilvl w:val="1"/>
          <w:numId w:val="16"/>
        </w:numPr>
        <w:ind w:left="1434" w:hanging="357"/>
        <w:jc w:val="both"/>
        <w:rPr>
          <w:rFonts w:asciiTheme="minorHAnsi" w:eastAsia="Times New Roman" w:hAnsiTheme="minorHAnsi" w:cstheme="minorHAnsi"/>
          <w:sz w:val="20"/>
          <w:szCs w:val="20"/>
          <w:lang w:eastAsia="es-ES"/>
        </w:rPr>
      </w:pPr>
      <w:r w:rsidRPr="0080027A">
        <w:rPr>
          <w:rFonts w:asciiTheme="minorHAnsi" w:eastAsia="Times New Roman" w:hAnsiTheme="minorHAnsi" w:cstheme="minorHAnsi"/>
          <w:sz w:val="20"/>
          <w:szCs w:val="20"/>
          <w:lang w:eastAsia="es-ES"/>
        </w:rPr>
        <w:t>Auditorías de cumplimiento normativo para satisfacer requisitos de seguridad de información.</w:t>
      </w:r>
    </w:p>
    <w:p w14:paraId="40DF0969" w14:textId="45DC0134" w:rsidR="0080027A" w:rsidRPr="00AE289D" w:rsidRDefault="0080027A" w:rsidP="00863692">
      <w:pPr>
        <w:pStyle w:val="Default"/>
        <w:numPr>
          <w:ilvl w:val="1"/>
          <w:numId w:val="16"/>
        </w:numPr>
        <w:ind w:left="1434" w:hanging="357"/>
        <w:jc w:val="both"/>
        <w:rPr>
          <w:rFonts w:asciiTheme="minorHAnsi" w:eastAsia="Times New Roman" w:hAnsiTheme="minorHAnsi" w:cstheme="minorHAnsi"/>
          <w:sz w:val="20"/>
          <w:szCs w:val="20"/>
          <w:lang w:eastAsia="es-ES"/>
        </w:rPr>
      </w:pPr>
      <w:r w:rsidRPr="00AE289D">
        <w:rPr>
          <w:rFonts w:asciiTheme="minorHAnsi" w:eastAsia="Times New Roman" w:hAnsiTheme="minorHAnsi" w:cstheme="minorHAnsi"/>
          <w:sz w:val="20"/>
          <w:szCs w:val="20"/>
          <w:lang w:eastAsia="es-ES"/>
        </w:rPr>
        <w:t>Otras certificaciones o acreditaciones en materia de seguridad en función de la actividad de la entidad y de los datos almacenados (por ejemplo PC</w:t>
      </w:r>
      <w:r w:rsidR="00AE289D">
        <w:rPr>
          <w:rFonts w:asciiTheme="minorHAnsi" w:eastAsia="Times New Roman" w:hAnsiTheme="minorHAnsi" w:cstheme="minorHAnsi"/>
          <w:sz w:val="20"/>
          <w:szCs w:val="20"/>
          <w:lang w:eastAsia="es-ES"/>
        </w:rPr>
        <w:t>I</w:t>
      </w:r>
      <w:r w:rsidRPr="00AE289D">
        <w:rPr>
          <w:rFonts w:asciiTheme="minorHAnsi" w:eastAsia="Times New Roman" w:hAnsiTheme="minorHAnsi" w:cstheme="minorHAnsi"/>
          <w:sz w:val="20"/>
          <w:szCs w:val="20"/>
          <w:lang w:eastAsia="es-ES"/>
        </w:rPr>
        <w:t>/PSS).</w:t>
      </w:r>
    </w:p>
    <w:p w14:paraId="03EA417E" w14:textId="77777777" w:rsidR="0034700D" w:rsidRPr="00ED4179" w:rsidRDefault="0034700D" w:rsidP="00DB25A2">
      <w:pPr>
        <w:pStyle w:val="Prrafodelista"/>
        <w:numPr>
          <w:ilvl w:val="0"/>
          <w:numId w:val="16"/>
        </w:numPr>
        <w:autoSpaceDE w:val="0"/>
        <w:autoSpaceDN w:val="0"/>
        <w:adjustRightInd w:val="0"/>
        <w:spacing w:before="120" w:after="120" w:line="240" w:lineRule="auto"/>
        <w:ind w:left="284" w:hanging="284"/>
        <w:contextualSpacing w:val="0"/>
        <w:jc w:val="both"/>
        <w:rPr>
          <w:rFonts w:eastAsia="Times New Roman" w:cstheme="minorHAnsi"/>
          <w:color w:val="000000"/>
          <w:sz w:val="20"/>
          <w:szCs w:val="20"/>
          <w:lang w:eastAsia="es-ES"/>
        </w:rPr>
      </w:pPr>
      <w:r w:rsidRPr="00ED4179">
        <w:rPr>
          <w:rFonts w:eastAsia="Times New Roman" w:cstheme="minorHAnsi"/>
          <w:color w:val="000000"/>
          <w:sz w:val="20"/>
          <w:szCs w:val="20"/>
          <w:lang w:eastAsia="es-ES"/>
        </w:rPr>
        <w:t>Gestión de cambios: deberá definirse un procedimiento que coordine entre ambas partes el mantenimiento de los sistemas, para prevenir paradas o errores en el servicio. Dicho procedimiento incluirá aspectos como la notificación anticipada de paradas del servicio, así como notificaciones posteriores al mantenimiento. Siempre que el mantenimiento o actualización impliquen cambios de envergadura, el proveedor habilitará un entorno actualizado de preproducción, donde el cliente verificará el correcto funcionamiento de sus sistemas.</w:t>
      </w:r>
    </w:p>
    <w:p w14:paraId="4CDF224A" w14:textId="77777777" w:rsidR="0034700D" w:rsidRPr="00ED4179" w:rsidRDefault="0034700D" w:rsidP="00DB25A2">
      <w:pPr>
        <w:pStyle w:val="Prrafodelista"/>
        <w:numPr>
          <w:ilvl w:val="0"/>
          <w:numId w:val="16"/>
        </w:numPr>
        <w:autoSpaceDE w:val="0"/>
        <w:autoSpaceDN w:val="0"/>
        <w:adjustRightInd w:val="0"/>
        <w:spacing w:before="120" w:after="120" w:line="240" w:lineRule="auto"/>
        <w:ind w:left="284" w:hanging="284"/>
        <w:contextualSpacing w:val="0"/>
        <w:jc w:val="both"/>
        <w:rPr>
          <w:rFonts w:eastAsia="Times New Roman" w:cstheme="minorHAnsi"/>
          <w:color w:val="000000"/>
          <w:sz w:val="20"/>
          <w:szCs w:val="20"/>
          <w:lang w:eastAsia="es-ES"/>
        </w:rPr>
      </w:pPr>
      <w:r w:rsidRPr="00ED4179">
        <w:rPr>
          <w:rFonts w:eastAsia="Times New Roman" w:cstheme="minorHAnsi"/>
          <w:color w:val="000000"/>
          <w:sz w:val="20"/>
          <w:szCs w:val="20"/>
          <w:lang w:eastAsia="es-ES"/>
        </w:rPr>
        <w:t>Registro de actividad: la trazabilidad de las acciones es uno de los aspectos seguidos por el ENS. Se detallará el control de accesos a la información, autorizaciones y obligaciones del proveedor en cuanto al registro de la actividad sobre los servicios contratados.</w:t>
      </w:r>
    </w:p>
    <w:p w14:paraId="27334E78" w14:textId="77777777" w:rsidR="0034700D" w:rsidRPr="00ED4179" w:rsidRDefault="0034700D" w:rsidP="00DB25A2">
      <w:pPr>
        <w:pStyle w:val="Default"/>
        <w:numPr>
          <w:ilvl w:val="0"/>
          <w:numId w:val="16"/>
        </w:numPr>
        <w:spacing w:before="120" w:after="120"/>
        <w:ind w:left="284" w:hanging="284"/>
        <w:jc w:val="both"/>
        <w:rPr>
          <w:rFonts w:asciiTheme="minorHAnsi" w:eastAsia="Times New Roman" w:hAnsiTheme="minorHAnsi" w:cstheme="minorHAnsi"/>
          <w:sz w:val="20"/>
          <w:szCs w:val="20"/>
          <w:lang w:eastAsia="es-ES"/>
        </w:rPr>
      </w:pPr>
      <w:r w:rsidRPr="00ED4179">
        <w:rPr>
          <w:rFonts w:asciiTheme="minorHAnsi" w:eastAsia="Times New Roman" w:hAnsiTheme="minorHAnsi" w:cstheme="minorHAnsi"/>
          <w:sz w:val="20"/>
          <w:szCs w:val="20"/>
          <w:lang w:eastAsia="es-ES"/>
        </w:rPr>
        <w:t>Gestión de incidentes: El proveedor deberá disponer de un procedimiento de gestión de incidentes [op.exp.7] que incluya la notificación de incidentes a la organización, tipos de incidentes, tiempos de respuesta y resolución, mantenimiento y gestión del registro de incidentes. Además, el proveedor deberá informar periódicamente de los incidentes que han afectado a los sistemas del cliente.</w:t>
      </w:r>
    </w:p>
    <w:p w14:paraId="76562669" w14:textId="77777777" w:rsidR="0034700D" w:rsidRPr="00ED4179" w:rsidRDefault="0034700D" w:rsidP="00DB25A2">
      <w:pPr>
        <w:pStyle w:val="Prrafodelista"/>
        <w:numPr>
          <w:ilvl w:val="0"/>
          <w:numId w:val="16"/>
        </w:numPr>
        <w:autoSpaceDE w:val="0"/>
        <w:autoSpaceDN w:val="0"/>
        <w:adjustRightInd w:val="0"/>
        <w:spacing w:before="120" w:after="120" w:line="240" w:lineRule="auto"/>
        <w:ind w:left="284" w:hanging="284"/>
        <w:contextualSpacing w:val="0"/>
        <w:jc w:val="both"/>
        <w:rPr>
          <w:rFonts w:eastAsia="Times New Roman" w:cstheme="minorHAnsi"/>
          <w:color w:val="000000"/>
          <w:sz w:val="20"/>
          <w:szCs w:val="20"/>
          <w:lang w:eastAsia="es-ES"/>
        </w:rPr>
      </w:pPr>
      <w:r w:rsidRPr="00ED4179">
        <w:rPr>
          <w:rFonts w:eastAsia="Times New Roman" w:cstheme="minorHAnsi"/>
          <w:color w:val="000000"/>
          <w:sz w:val="20"/>
          <w:szCs w:val="20"/>
          <w:lang w:eastAsia="es-ES"/>
        </w:rPr>
        <w:t>Respaldo y recuperación de datos: el proveedor deberá disponer de un procedimiento de copias que garantice la restauración de la información como describe [mp.info.9]. El proveedor deberá informar al cliente de:</w:t>
      </w:r>
    </w:p>
    <w:p w14:paraId="620C7BA9" w14:textId="77777777" w:rsidR="0034700D" w:rsidRPr="00ED4179" w:rsidRDefault="0034700D" w:rsidP="00863692">
      <w:pPr>
        <w:pStyle w:val="Default"/>
        <w:numPr>
          <w:ilvl w:val="1"/>
          <w:numId w:val="16"/>
        </w:numPr>
        <w:ind w:left="1434" w:hanging="357"/>
        <w:jc w:val="both"/>
        <w:rPr>
          <w:rFonts w:asciiTheme="minorHAnsi" w:eastAsia="Times New Roman" w:hAnsiTheme="minorHAnsi" w:cstheme="minorHAnsi"/>
          <w:sz w:val="20"/>
          <w:szCs w:val="20"/>
          <w:lang w:eastAsia="es-ES"/>
        </w:rPr>
      </w:pPr>
      <w:r w:rsidRPr="00ED4179">
        <w:rPr>
          <w:rFonts w:asciiTheme="minorHAnsi" w:eastAsia="Times New Roman" w:hAnsiTheme="minorHAnsi" w:cstheme="minorHAnsi"/>
          <w:sz w:val="20"/>
          <w:szCs w:val="20"/>
          <w:lang w:eastAsia="es-ES"/>
        </w:rPr>
        <w:t xml:space="preserve">Alcance de los respaldos. </w:t>
      </w:r>
    </w:p>
    <w:p w14:paraId="13F0E36E" w14:textId="77777777" w:rsidR="0034700D" w:rsidRPr="00ED4179" w:rsidRDefault="0034700D" w:rsidP="00863692">
      <w:pPr>
        <w:pStyle w:val="Default"/>
        <w:numPr>
          <w:ilvl w:val="1"/>
          <w:numId w:val="16"/>
        </w:numPr>
        <w:ind w:left="1434" w:hanging="357"/>
        <w:jc w:val="both"/>
        <w:rPr>
          <w:rFonts w:asciiTheme="minorHAnsi" w:eastAsia="Times New Roman" w:hAnsiTheme="minorHAnsi" w:cstheme="minorHAnsi"/>
          <w:sz w:val="20"/>
          <w:szCs w:val="20"/>
          <w:lang w:eastAsia="es-ES"/>
        </w:rPr>
      </w:pPr>
      <w:r w:rsidRPr="00ED4179">
        <w:rPr>
          <w:rFonts w:asciiTheme="minorHAnsi" w:eastAsia="Times New Roman" w:hAnsiTheme="minorHAnsi" w:cstheme="minorHAnsi"/>
          <w:sz w:val="20"/>
          <w:szCs w:val="20"/>
          <w:lang w:eastAsia="es-ES"/>
        </w:rPr>
        <w:t xml:space="preserve">Política de copias de seguridad. </w:t>
      </w:r>
    </w:p>
    <w:p w14:paraId="1B51AF0E" w14:textId="77777777" w:rsidR="0034700D" w:rsidRPr="00ED4179" w:rsidRDefault="0034700D" w:rsidP="00863692">
      <w:pPr>
        <w:pStyle w:val="Default"/>
        <w:numPr>
          <w:ilvl w:val="1"/>
          <w:numId w:val="16"/>
        </w:numPr>
        <w:ind w:left="1434" w:hanging="357"/>
        <w:jc w:val="both"/>
        <w:rPr>
          <w:rFonts w:asciiTheme="minorHAnsi" w:eastAsia="Times New Roman" w:hAnsiTheme="minorHAnsi" w:cstheme="minorHAnsi"/>
          <w:sz w:val="20"/>
          <w:szCs w:val="20"/>
          <w:lang w:eastAsia="es-ES"/>
        </w:rPr>
      </w:pPr>
      <w:r w:rsidRPr="00ED4179">
        <w:rPr>
          <w:rFonts w:asciiTheme="minorHAnsi" w:eastAsia="Times New Roman" w:hAnsiTheme="minorHAnsi" w:cstheme="minorHAnsi"/>
          <w:sz w:val="20"/>
          <w:szCs w:val="20"/>
          <w:lang w:eastAsia="es-ES"/>
        </w:rPr>
        <w:t xml:space="preserve">Medidas de cifrado de información en respaldo. </w:t>
      </w:r>
    </w:p>
    <w:p w14:paraId="27B5797D" w14:textId="77777777" w:rsidR="0034700D" w:rsidRPr="00ED4179" w:rsidRDefault="0034700D" w:rsidP="00863692">
      <w:pPr>
        <w:pStyle w:val="Default"/>
        <w:numPr>
          <w:ilvl w:val="1"/>
          <w:numId w:val="16"/>
        </w:numPr>
        <w:ind w:left="1434" w:hanging="357"/>
        <w:jc w:val="both"/>
        <w:rPr>
          <w:rFonts w:asciiTheme="minorHAnsi" w:eastAsia="Times New Roman" w:hAnsiTheme="minorHAnsi" w:cstheme="minorHAnsi"/>
          <w:sz w:val="20"/>
          <w:szCs w:val="20"/>
          <w:lang w:eastAsia="es-ES"/>
        </w:rPr>
      </w:pPr>
      <w:r w:rsidRPr="00ED4179">
        <w:rPr>
          <w:rFonts w:asciiTheme="minorHAnsi" w:eastAsia="Times New Roman" w:hAnsiTheme="minorHAnsi" w:cstheme="minorHAnsi"/>
          <w:sz w:val="20"/>
          <w:szCs w:val="20"/>
          <w:lang w:eastAsia="es-ES"/>
        </w:rPr>
        <w:t xml:space="preserve">Procedimiento de solicitud de restauraciones de respaldo. </w:t>
      </w:r>
    </w:p>
    <w:p w14:paraId="78027C3C" w14:textId="77777777" w:rsidR="0034700D" w:rsidRPr="00ED4179" w:rsidRDefault="0034700D" w:rsidP="00863692">
      <w:pPr>
        <w:pStyle w:val="Default"/>
        <w:numPr>
          <w:ilvl w:val="1"/>
          <w:numId w:val="16"/>
        </w:numPr>
        <w:ind w:left="1434" w:hanging="357"/>
        <w:jc w:val="both"/>
        <w:rPr>
          <w:rFonts w:asciiTheme="minorHAnsi" w:eastAsia="Times New Roman" w:hAnsiTheme="minorHAnsi" w:cstheme="minorHAnsi"/>
          <w:sz w:val="20"/>
          <w:szCs w:val="20"/>
          <w:lang w:eastAsia="es-ES"/>
        </w:rPr>
      </w:pPr>
      <w:r w:rsidRPr="00ED4179">
        <w:rPr>
          <w:rFonts w:asciiTheme="minorHAnsi" w:eastAsia="Times New Roman" w:hAnsiTheme="minorHAnsi" w:cstheme="minorHAnsi"/>
          <w:sz w:val="20"/>
          <w:szCs w:val="20"/>
          <w:lang w:eastAsia="es-ES"/>
        </w:rPr>
        <w:t xml:space="preserve">Realización de pruebas de restauración. </w:t>
      </w:r>
    </w:p>
    <w:p w14:paraId="1265031C" w14:textId="77777777" w:rsidR="0034700D" w:rsidRPr="00ED4179" w:rsidRDefault="0034700D" w:rsidP="00863692">
      <w:pPr>
        <w:pStyle w:val="Default"/>
        <w:numPr>
          <w:ilvl w:val="1"/>
          <w:numId w:val="16"/>
        </w:numPr>
        <w:ind w:left="1434" w:hanging="357"/>
        <w:jc w:val="both"/>
        <w:rPr>
          <w:rFonts w:asciiTheme="minorHAnsi" w:eastAsia="Times New Roman" w:hAnsiTheme="minorHAnsi" w:cstheme="minorHAnsi"/>
          <w:sz w:val="20"/>
          <w:szCs w:val="20"/>
          <w:lang w:eastAsia="es-ES"/>
        </w:rPr>
      </w:pPr>
      <w:r w:rsidRPr="00ED4179">
        <w:rPr>
          <w:rFonts w:asciiTheme="minorHAnsi" w:eastAsia="Times New Roman" w:hAnsiTheme="minorHAnsi" w:cstheme="minorHAnsi"/>
          <w:sz w:val="20"/>
          <w:szCs w:val="20"/>
          <w:lang w:eastAsia="es-ES"/>
        </w:rPr>
        <w:t xml:space="preserve">Traslado de copias de seguridad (si aplica). </w:t>
      </w:r>
    </w:p>
    <w:p w14:paraId="4834FFA5" w14:textId="77777777" w:rsidR="0034700D" w:rsidRPr="00ED4179" w:rsidRDefault="0034700D" w:rsidP="00DB25A2">
      <w:pPr>
        <w:pStyle w:val="Prrafodelista"/>
        <w:numPr>
          <w:ilvl w:val="0"/>
          <w:numId w:val="16"/>
        </w:numPr>
        <w:autoSpaceDE w:val="0"/>
        <w:autoSpaceDN w:val="0"/>
        <w:adjustRightInd w:val="0"/>
        <w:spacing w:before="120" w:after="120" w:line="240" w:lineRule="auto"/>
        <w:ind w:left="284" w:hanging="284"/>
        <w:contextualSpacing w:val="0"/>
        <w:jc w:val="both"/>
        <w:rPr>
          <w:rFonts w:eastAsia="Times New Roman" w:cstheme="minorHAnsi"/>
          <w:sz w:val="20"/>
          <w:szCs w:val="20"/>
          <w:lang w:eastAsia="es-ES"/>
        </w:rPr>
      </w:pPr>
      <w:r w:rsidRPr="00ED4179">
        <w:rPr>
          <w:rFonts w:eastAsia="Times New Roman" w:cstheme="minorHAnsi"/>
          <w:sz w:val="20"/>
          <w:szCs w:val="20"/>
          <w:lang w:eastAsia="es-ES"/>
        </w:rPr>
        <w:t>Continuidad del servicio: De acuerdo con la medida [op.cont.2] del ENS, se deberá disponer de medidas de continuidad del servicio. Se deberá solicitar al proveedor evidencia de la existencia de un plan de continuidad de negocio que incluya:</w:t>
      </w:r>
    </w:p>
    <w:p w14:paraId="344038CE" w14:textId="77777777" w:rsidR="0034700D" w:rsidRPr="00863692" w:rsidRDefault="0034700D" w:rsidP="00863692">
      <w:pPr>
        <w:pStyle w:val="Default"/>
        <w:numPr>
          <w:ilvl w:val="1"/>
          <w:numId w:val="16"/>
        </w:numPr>
        <w:ind w:left="1434" w:hanging="357"/>
        <w:jc w:val="both"/>
        <w:rPr>
          <w:rFonts w:asciiTheme="minorHAnsi" w:eastAsia="Times New Roman" w:hAnsiTheme="minorHAnsi" w:cstheme="minorHAnsi"/>
          <w:sz w:val="20"/>
          <w:szCs w:val="20"/>
          <w:lang w:eastAsia="es-ES"/>
        </w:rPr>
      </w:pPr>
      <w:r w:rsidRPr="00863692">
        <w:rPr>
          <w:rFonts w:asciiTheme="minorHAnsi" w:eastAsia="Times New Roman" w:hAnsiTheme="minorHAnsi" w:cstheme="minorHAnsi"/>
          <w:sz w:val="20"/>
          <w:szCs w:val="20"/>
          <w:lang w:eastAsia="es-ES"/>
        </w:rPr>
        <w:t xml:space="preserve"> Alcance con los servicios objeto de la prestación</w:t>
      </w:r>
    </w:p>
    <w:p w14:paraId="1ED004D7" w14:textId="77777777" w:rsidR="0034700D" w:rsidRPr="00863692" w:rsidRDefault="0034700D" w:rsidP="00863692">
      <w:pPr>
        <w:pStyle w:val="Default"/>
        <w:numPr>
          <w:ilvl w:val="1"/>
          <w:numId w:val="16"/>
        </w:numPr>
        <w:ind w:left="1434" w:hanging="357"/>
        <w:jc w:val="both"/>
        <w:rPr>
          <w:rFonts w:asciiTheme="minorHAnsi" w:eastAsia="Times New Roman" w:hAnsiTheme="minorHAnsi" w:cstheme="minorHAnsi"/>
          <w:sz w:val="20"/>
          <w:szCs w:val="20"/>
          <w:lang w:eastAsia="es-ES"/>
        </w:rPr>
      </w:pPr>
      <w:r w:rsidRPr="00863692">
        <w:rPr>
          <w:rFonts w:asciiTheme="minorHAnsi" w:eastAsia="Times New Roman" w:hAnsiTheme="minorHAnsi" w:cstheme="minorHAnsi"/>
          <w:sz w:val="20"/>
          <w:szCs w:val="20"/>
          <w:lang w:eastAsia="es-ES"/>
        </w:rPr>
        <w:t>Tiempos de recuperación identificados en el análisis de impacto y alineados con los criterios definidos en los SLAs.</w:t>
      </w:r>
    </w:p>
    <w:p w14:paraId="2D5662F4" w14:textId="5BCE6FF0" w:rsidR="0034700D" w:rsidRPr="00863692" w:rsidRDefault="0034700D" w:rsidP="00863692">
      <w:pPr>
        <w:pStyle w:val="Default"/>
        <w:numPr>
          <w:ilvl w:val="1"/>
          <w:numId w:val="16"/>
        </w:numPr>
        <w:ind w:left="1434" w:hanging="357"/>
        <w:jc w:val="both"/>
        <w:rPr>
          <w:rFonts w:asciiTheme="minorHAnsi" w:eastAsia="Times New Roman" w:hAnsiTheme="minorHAnsi" w:cstheme="minorHAnsi"/>
          <w:sz w:val="20"/>
          <w:szCs w:val="20"/>
          <w:lang w:eastAsia="es-ES"/>
        </w:rPr>
      </w:pPr>
      <w:r w:rsidRPr="00863692">
        <w:rPr>
          <w:rFonts w:asciiTheme="minorHAnsi" w:eastAsia="Times New Roman" w:hAnsiTheme="minorHAnsi" w:cstheme="minorHAnsi"/>
          <w:sz w:val="20"/>
          <w:szCs w:val="20"/>
          <w:lang w:eastAsia="es-ES"/>
        </w:rPr>
        <w:t>Procedimiento de coordinación ante incidentes y desastres, que defina los flujos e interacciones cliente-proveedor durante la gestión de incidentes o desastres. El proveedor también deberá informar periódicamente de los incidentes que han afectado a los sistemas que soportan los sistemas del cliente.</w:t>
      </w:r>
    </w:p>
    <w:p w14:paraId="661F02FB" w14:textId="77777777" w:rsidR="0034700D" w:rsidRPr="00863692" w:rsidRDefault="0034700D" w:rsidP="00863692">
      <w:pPr>
        <w:pStyle w:val="Default"/>
        <w:numPr>
          <w:ilvl w:val="1"/>
          <w:numId w:val="16"/>
        </w:numPr>
        <w:ind w:left="1434" w:hanging="357"/>
        <w:jc w:val="both"/>
        <w:rPr>
          <w:rFonts w:asciiTheme="minorHAnsi" w:eastAsia="Times New Roman" w:hAnsiTheme="minorHAnsi" w:cstheme="minorHAnsi"/>
          <w:sz w:val="20"/>
          <w:szCs w:val="20"/>
          <w:lang w:eastAsia="es-ES"/>
        </w:rPr>
      </w:pPr>
      <w:r w:rsidRPr="00863692">
        <w:rPr>
          <w:rFonts w:asciiTheme="minorHAnsi" w:eastAsia="Times New Roman" w:hAnsiTheme="minorHAnsi" w:cstheme="minorHAnsi"/>
          <w:sz w:val="20"/>
          <w:szCs w:val="20"/>
          <w:lang w:eastAsia="es-ES"/>
        </w:rPr>
        <w:t>Pruebas periódicas para validar el funcionamiento de los planes, cumplimiento de plazos y servicios mínimos previstos.</w:t>
      </w:r>
    </w:p>
    <w:p w14:paraId="4EC236F1" w14:textId="77777777" w:rsidR="0034700D" w:rsidRDefault="0034700D" w:rsidP="00DB25A2">
      <w:pPr>
        <w:pStyle w:val="Prrafodelista"/>
        <w:numPr>
          <w:ilvl w:val="0"/>
          <w:numId w:val="16"/>
        </w:numPr>
        <w:autoSpaceDE w:val="0"/>
        <w:autoSpaceDN w:val="0"/>
        <w:adjustRightInd w:val="0"/>
        <w:spacing w:before="120" w:after="120" w:line="240" w:lineRule="auto"/>
        <w:ind w:left="284" w:hanging="284"/>
        <w:contextualSpacing w:val="0"/>
        <w:jc w:val="both"/>
        <w:rPr>
          <w:rFonts w:eastAsia="Times New Roman" w:cstheme="minorHAnsi"/>
          <w:color w:val="000000"/>
          <w:sz w:val="20"/>
          <w:szCs w:val="20"/>
          <w:lang w:eastAsia="es-ES"/>
        </w:rPr>
      </w:pPr>
      <w:r w:rsidRPr="00ED4179">
        <w:rPr>
          <w:rFonts w:eastAsia="Times New Roman" w:cstheme="minorHAnsi"/>
          <w:color w:val="000000"/>
          <w:sz w:val="20"/>
          <w:szCs w:val="20"/>
          <w:lang w:eastAsia="es-ES"/>
        </w:rPr>
        <w:t xml:space="preserve">Finalización del servicio y eliminación de información: El contrato especificará condiciones, procedimientos y plazos para una terminación pactada o por incumplimiento de los supuestos contractuales, que deberá especificarse en una cláusula junto al tiempo que tardará el proveedor en migrar los datos. Se buscará “neutralidad tecnológica” para facilitar dicha migración. Por último, deberá recogerse una cláusula o establecer un procedimiento sobre el tiempo y mecanismos que tardará el proveedor en realizar la destrucción efectiva de los datos. </w:t>
      </w:r>
    </w:p>
    <w:p w14:paraId="37A29AD2" w14:textId="3EE5C38D" w:rsidR="00E24E88" w:rsidRDefault="00ED4179" w:rsidP="00ED4179">
      <w:pPr>
        <w:autoSpaceDE w:val="0"/>
        <w:autoSpaceDN w:val="0"/>
        <w:adjustRightInd w:val="0"/>
        <w:spacing w:before="120" w:after="120" w:line="240" w:lineRule="auto"/>
        <w:jc w:val="both"/>
        <w:rPr>
          <w:rFonts w:eastAsia="Times New Roman" w:cstheme="minorHAnsi"/>
          <w:color w:val="000000"/>
          <w:sz w:val="20"/>
          <w:szCs w:val="20"/>
          <w:lang w:eastAsia="es-ES"/>
        </w:rPr>
      </w:pPr>
      <w:r>
        <w:rPr>
          <w:rFonts w:eastAsia="Times New Roman" w:cstheme="minorHAnsi"/>
          <w:color w:val="000000"/>
          <w:sz w:val="20"/>
          <w:szCs w:val="20"/>
          <w:lang w:eastAsia="es-ES"/>
        </w:rPr>
        <w:t>En los apartados 5 y 6 de la guía CCN-823 se comentan con mayor detalle los aspectos a incluir en los contratos cloud.</w:t>
      </w:r>
    </w:p>
    <w:p w14:paraId="0F8BBD3C" w14:textId="34D33758" w:rsidR="00141BFB" w:rsidRPr="00141BFB" w:rsidRDefault="00141BFB" w:rsidP="00ED4179">
      <w:pPr>
        <w:autoSpaceDE w:val="0"/>
        <w:autoSpaceDN w:val="0"/>
        <w:adjustRightInd w:val="0"/>
        <w:spacing w:before="120" w:after="120" w:line="240" w:lineRule="auto"/>
        <w:jc w:val="both"/>
        <w:rPr>
          <w:rFonts w:eastAsia="Times New Roman" w:cstheme="minorHAnsi"/>
          <w:b/>
          <w:bCs/>
          <w:color w:val="7F7F7F" w:themeColor="text1" w:themeTint="80"/>
          <w:sz w:val="20"/>
          <w:szCs w:val="20"/>
          <w:lang w:eastAsia="es-ES"/>
        </w:rPr>
      </w:pPr>
      <w:r w:rsidRPr="00141BFB">
        <w:rPr>
          <w:rFonts w:eastAsia="Times New Roman" w:cstheme="minorHAnsi"/>
          <w:b/>
          <w:bCs/>
          <w:color w:val="7F7F7F" w:themeColor="text1" w:themeTint="80"/>
          <w:sz w:val="20"/>
          <w:szCs w:val="20"/>
          <w:lang w:eastAsia="es-ES"/>
        </w:rPr>
        <w:lastRenderedPageBreak/>
        <w:t xml:space="preserve">CONTROL DE </w:t>
      </w:r>
      <w:r>
        <w:rPr>
          <w:rFonts w:eastAsia="Times New Roman" w:cstheme="minorHAnsi"/>
          <w:b/>
          <w:bCs/>
          <w:color w:val="7F7F7F" w:themeColor="text1" w:themeTint="80"/>
          <w:sz w:val="20"/>
          <w:szCs w:val="20"/>
          <w:lang w:eastAsia="es-ES"/>
        </w:rPr>
        <w:t>VERSIONES</w:t>
      </w:r>
    </w:p>
    <w:tbl>
      <w:tblPr>
        <w:tblStyle w:val="Tablaconcuadrcu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555"/>
        <w:gridCol w:w="7505"/>
      </w:tblGrid>
      <w:tr w:rsidR="00141BFB" w:rsidRPr="00141BFB" w14:paraId="63FB863C" w14:textId="77777777" w:rsidTr="00141BFB">
        <w:tc>
          <w:tcPr>
            <w:tcW w:w="1555" w:type="dxa"/>
          </w:tcPr>
          <w:p w14:paraId="1186EAA1" w14:textId="21FEC509" w:rsidR="00141BFB" w:rsidRPr="00141BFB" w:rsidRDefault="00141BFB" w:rsidP="00141BFB">
            <w:pPr>
              <w:autoSpaceDE w:val="0"/>
              <w:autoSpaceDN w:val="0"/>
              <w:adjustRightInd w:val="0"/>
              <w:spacing w:before="120" w:after="120"/>
              <w:jc w:val="center"/>
              <w:rPr>
                <w:rFonts w:eastAsia="Times New Roman" w:cstheme="minorHAnsi"/>
                <w:b/>
                <w:bCs/>
                <w:color w:val="7F7F7F" w:themeColor="text1" w:themeTint="80"/>
                <w:sz w:val="20"/>
                <w:szCs w:val="20"/>
                <w:lang w:eastAsia="es-ES"/>
              </w:rPr>
            </w:pPr>
            <w:r w:rsidRPr="00141BFB">
              <w:rPr>
                <w:rFonts w:eastAsia="Times New Roman" w:cstheme="minorHAnsi"/>
                <w:b/>
                <w:bCs/>
                <w:color w:val="7F7F7F" w:themeColor="text1" w:themeTint="80"/>
                <w:sz w:val="20"/>
                <w:szCs w:val="20"/>
                <w:lang w:eastAsia="es-ES"/>
              </w:rPr>
              <w:t>Versión</w:t>
            </w:r>
          </w:p>
        </w:tc>
        <w:tc>
          <w:tcPr>
            <w:tcW w:w="7505" w:type="dxa"/>
          </w:tcPr>
          <w:p w14:paraId="7FE3DF54" w14:textId="6A0680D3" w:rsidR="00141BFB" w:rsidRPr="00141BFB" w:rsidRDefault="00141BFB" w:rsidP="00141BFB">
            <w:pPr>
              <w:autoSpaceDE w:val="0"/>
              <w:autoSpaceDN w:val="0"/>
              <w:adjustRightInd w:val="0"/>
              <w:spacing w:before="120" w:after="120"/>
              <w:jc w:val="center"/>
              <w:rPr>
                <w:rFonts w:eastAsia="Times New Roman" w:cstheme="minorHAnsi"/>
                <w:b/>
                <w:bCs/>
                <w:color w:val="7F7F7F" w:themeColor="text1" w:themeTint="80"/>
                <w:sz w:val="20"/>
                <w:szCs w:val="20"/>
                <w:lang w:eastAsia="es-ES"/>
              </w:rPr>
            </w:pPr>
            <w:r>
              <w:rPr>
                <w:rFonts w:eastAsia="Times New Roman" w:cstheme="minorHAnsi"/>
                <w:b/>
                <w:bCs/>
                <w:color w:val="7F7F7F" w:themeColor="text1" w:themeTint="80"/>
                <w:sz w:val="20"/>
                <w:szCs w:val="20"/>
                <w:lang w:eastAsia="es-ES"/>
              </w:rPr>
              <w:t>Cambios</w:t>
            </w:r>
          </w:p>
        </w:tc>
      </w:tr>
      <w:tr w:rsidR="00141BFB" w14:paraId="419BF15E" w14:textId="77777777" w:rsidTr="00141BFB">
        <w:tc>
          <w:tcPr>
            <w:tcW w:w="1555" w:type="dxa"/>
            <w:vAlign w:val="center"/>
          </w:tcPr>
          <w:p w14:paraId="43599B37" w14:textId="4685A441" w:rsidR="00141BFB" w:rsidRDefault="00141BFB" w:rsidP="00141BFB">
            <w:pPr>
              <w:autoSpaceDE w:val="0"/>
              <w:autoSpaceDN w:val="0"/>
              <w:adjustRightInd w:val="0"/>
              <w:spacing w:before="120" w:after="120"/>
              <w:jc w:val="center"/>
              <w:rPr>
                <w:rFonts w:eastAsia="Times New Roman" w:cstheme="minorHAnsi"/>
                <w:color w:val="7F7F7F" w:themeColor="text1" w:themeTint="80"/>
                <w:sz w:val="20"/>
                <w:szCs w:val="20"/>
                <w:lang w:eastAsia="es-ES"/>
              </w:rPr>
            </w:pPr>
            <w:r>
              <w:rPr>
                <w:rFonts w:eastAsia="Times New Roman" w:cstheme="minorHAnsi"/>
                <w:color w:val="7F7F7F" w:themeColor="text1" w:themeTint="80"/>
                <w:sz w:val="20"/>
                <w:szCs w:val="20"/>
                <w:lang w:eastAsia="es-ES"/>
              </w:rPr>
              <w:t>15-07-2019</w:t>
            </w:r>
          </w:p>
        </w:tc>
        <w:tc>
          <w:tcPr>
            <w:tcW w:w="7505" w:type="dxa"/>
          </w:tcPr>
          <w:p w14:paraId="5FA46AA4" w14:textId="6B3B0276" w:rsidR="00141BFB" w:rsidRDefault="00141BFB" w:rsidP="00ED4179">
            <w:pPr>
              <w:autoSpaceDE w:val="0"/>
              <w:autoSpaceDN w:val="0"/>
              <w:adjustRightInd w:val="0"/>
              <w:spacing w:before="120" w:after="120"/>
              <w:jc w:val="both"/>
              <w:rPr>
                <w:rFonts w:eastAsia="Times New Roman" w:cstheme="minorHAnsi"/>
                <w:color w:val="7F7F7F" w:themeColor="text1" w:themeTint="80"/>
                <w:sz w:val="20"/>
                <w:szCs w:val="20"/>
                <w:lang w:eastAsia="es-ES"/>
              </w:rPr>
            </w:pPr>
            <w:r>
              <w:rPr>
                <w:rFonts w:eastAsia="Times New Roman" w:cstheme="minorHAnsi"/>
                <w:color w:val="7F7F7F" w:themeColor="text1" w:themeTint="80"/>
                <w:sz w:val="20"/>
                <w:szCs w:val="20"/>
                <w:lang w:eastAsia="es-ES"/>
              </w:rPr>
              <w:t>Versión inicial</w:t>
            </w:r>
          </w:p>
        </w:tc>
      </w:tr>
      <w:tr w:rsidR="00141BFB" w14:paraId="2035A5F7" w14:textId="77777777" w:rsidTr="00141BFB">
        <w:tc>
          <w:tcPr>
            <w:tcW w:w="1555" w:type="dxa"/>
            <w:vAlign w:val="center"/>
          </w:tcPr>
          <w:p w14:paraId="16876A2F" w14:textId="2A7F841E" w:rsidR="00141BFB" w:rsidRDefault="00141BFB" w:rsidP="00141BFB">
            <w:pPr>
              <w:autoSpaceDE w:val="0"/>
              <w:autoSpaceDN w:val="0"/>
              <w:adjustRightInd w:val="0"/>
              <w:spacing w:before="120" w:after="120"/>
              <w:jc w:val="center"/>
              <w:rPr>
                <w:rFonts w:eastAsia="Times New Roman" w:cstheme="minorHAnsi"/>
                <w:color w:val="7F7F7F" w:themeColor="text1" w:themeTint="80"/>
                <w:sz w:val="20"/>
                <w:szCs w:val="20"/>
                <w:lang w:eastAsia="es-ES"/>
              </w:rPr>
            </w:pPr>
            <w:r>
              <w:rPr>
                <w:rFonts w:eastAsia="Times New Roman" w:cstheme="minorHAnsi"/>
                <w:color w:val="7F7F7F" w:themeColor="text1" w:themeTint="80"/>
                <w:sz w:val="20"/>
                <w:szCs w:val="20"/>
                <w:lang w:eastAsia="es-ES"/>
              </w:rPr>
              <w:t>18-02-2020</w:t>
            </w:r>
          </w:p>
        </w:tc>
        <w:tc>
          <w:tcPr>
            <w:tcW w:w="7505" w:type="dxa"/>
          </w:tcPr>
          <w:p w14:paraId="77465E36" w14:textId="77777777" w:rsidR="00141BFB" w:rsidRDefault="00141BFB" w:rsidP="00ED4179">
            <w:pPr>
              <w:autoSpaceDE w:val="0"/>
              <w:autoSpaceDN w:val="0"/>
              <w:adjustRightInd w:val="0"/>
              <w:spacing w:before="120" w:after="120"/>
              <w:jc w:val="both"/>
              <w:rPr>
                <w:rFonts w:eastAsia="Times New Roman" w:cstheme="minorHAnsi"/>
                <w:i/>
                <w:iCs/>
                <w:color w:val="7F7F7F" w:themeColor="text1" w:themeTint="80"/>
                <w:sz w:val="20"/>
                <w:szCs w:val="20"/>
                <w:lang w:eastAsia="es-ES"/>
              </w:rPr>
            </w:pPr>
            <w:r>
              <w:rPr>
                <w:rFonts w:eastAsia="Times New Roman" w:cstheme="minorHAnsi"/>
                <w:color w:val="7F7F7F" w:themeColor="text1" w:themeTint="80"/>
                <w:sz w:val="20"/>
                <w:szCs w:val="20"/>
                <w:lang w:eastAsia="es-ES"/>
              </w:rPr>
              <w:t xml:space="preserve">Se actualiza el contenido de los apartados </w:t>
            </w:r>
            <w:r w:rsidRPr="00141BFB">
              <w:rPr>
                <w:rFonts w:eastAsia="Times New Roman" w:cstheme="minorHAnsi"/>
                <w:i/>
                <w:iCs/>
                <w:color w:val="7F7F7F" w:themeColor="text1" w:themeTint="80"/>
                <w:sz w:val="20"/>
                <w:szCs w:val="20"/>
                <w:lang w:eastAsia="es-ES"/>
              </w:rPr>
              <w:t>Nube privada</w:t>
            </w:r>
            <w:r>
              <w:rPr>
                <w:rFonts w:eastAsia="Times New Roman" w:cstheme="minorHAnsi"/>
                <w:color w:val="7F7F7F" w:themeColor="text1" w:themeTint="80"/>
                <w:sz w:val="20"/>
                <w:szCs w:val="20"/>
                <w:lang w:eastAsia="es-ES"/>
              </w:rPr>
              <w:t xml:space="preserve"> y </w:t>
            </w:r>
            <w:r w:rsidRPr="00141BFB">
              <w:rPr>
                <w:rFonts w:eastAsia="Times New Roman" w:cstheme="minorHAnsi"/>
                <w:i/>
                <w:iCs/>
                <w:color w:val="7F7F7F" w:themeColor="text1" w:themeTint="80"/>
                <w:sz w:val="20"/>
                <w:szCs w:val="20"/>
                <w:lang w:eastAsia="es-ES"/>
              </w:rPr>
              <w:t>Nube comunitaria</w:t>
            </w:r>
            <w:r w:rsidRPr="00141BFB">
              <w:rPr>
                <w:rFonts w:eastAsia="Times New Roman" w:cstheme="minorHAnsi"/>
                <w:color w:val="7F7F7F" w:themeColor="text1" w:themeTint="80"/>
                <w:sz w:val="20"/>
                <w:szCs w:val="20"/>
                <w:lang w:eastAsia="es-ES"/>
              </w:rPr>
              <w:t xml:space="preserve"> del epígrafe 3</w:t>
            </w:r>
            <w:r w:rsidRPr="00141BFB">
              <w:rPr>
                <w:rFonts w:eastAsia="Times New Roman" w:cstheme="minorHAnsi"/>
                <w:i/>
                <w:iCs/>
                <w:color w:val="7F7F7F" w:themeColor="text1" w:themeTint="80"/>
                <w:sz w:val="20"/>
                <w:szCs w:val="20"/>
                <w:lang w:eastAsia="es-ES"/>
              </w:rPr>
              <w:t xml:space="preserve">, </w:t>
            </w:r>
            <w:r w:rsidRPr="00141BFB">
              <w:rPr>
                <w:rFonts w:eastAsia="Times New Roman" w:cstheme="minorHAnsi"/>
                <w:color w:val="7F7F7F" w:themeColor="text1" w:themeTint="80"/>
                <w:sz w:val="20"/>
                <w:szCs w:val="20"/>
                <w:lang w:eastAsia="es-ES"/>
              </w:rPr>
              <w:t>para adecuarlos a las g</w:t>
            </w:r>
            <w:bookmarkStart w:id="6" w:name="_GoBack"/>
            <w:bookmarkEnd w:id="6"/>
            <w:r w:rsidRPr="00141BFB">
              <w:rPr>
                <w:rFonts w:eastAsia="Times New Roman" w:cstheme="minorHAnsi"/>
                <w:color w:val="7F7F7F" w:themeColor="text1" w:themeTint="80"/>
                <w:sz w:val="20"/>
                <w:szCs w:val="20"/>
                <w:lang w:eastAsia="es-ES"/>
              </w:rPr>
              <w:t>uías recientes del CCN sobre la materia</w:t>
            </w:r>
            <w:r w:rsidRPr="00141BFB">
              <w:rPr>
                <w:rFonts w:eastAsia="Times New Roman" w:cstheme="minorHAnsi"/>
                <w:i/>
                <w:iCs/>
                <w:color w:val="7F7F7F" w:themeColor="text1" w:themeTint="80"/>
                <w:sz w:val="20"/>
                <w:szCs w:val="20"/>
                <w:lang w:eastAsia="es-ES"/>
              </w:rPr>
              <w:t>.</w:t>
            </w:r>
          </w:p>
          <w:p w14:paraId="6401480A" w14:textId="007C1906" w:rsidR="005D12E5" w:rsidRPr="005D12E5" w:rsidRDefault="005D12E5" w:rsidP="00ED4179">
            <w:pPr>
              <w:autoSpaceDE w:val="0"/>
              <w:autoSpaceDN w:val="0"/>
              <w:adjustRightInd w:val="0"/>
              <w:spacing w:before="120" w:after="120"/>
              <w:jc w:val="both"/>
              <w:rPr>
                <w:rFonts w:eastAsia="Times New Roman" w:cstheme="minorHAnsi"/>
                <w:color w:val="7F7F7F" w:themeColor="text1" w:themeTint="80"/>
                <w:sz w:val="20"/>
                <w:szCs w:val="20"/>
                <w:lang w:eastAsia="es-ES"/>
              </w:rPr>
            </w:pPr>
            <w:r w:rsidRPr="005D12E5">
              <w:rPr>
                <w:rFonts w:eastAsia="Times New Roman"/>
                <w:color w:val="7F7F7F" w:themeColor="text1" w:themeTint="80"/>
                <w:sz w:val="20"/>
                <w:szCs w:val="20"/>
                <w:lang w:eastAsia="es-ES"/>
              </w:rPr>
              <w:t>Se actualiza la bibliografía.</w:t>
            </w:r>
          </w:p>
        </w:tc>
      </w:tr>
      <w:tr w:rsidR="00141BFB" w14:paraId="6D46DDB5" w14:textId="77777777" w:rsidTr="00141BFB">
        <w:tc>
          <w:tcPr>
            <w:tcW w:w="1555" w:type="dxa"/>
            <w:vAlign w:val="center"/>
          </w:tcPr>
          <w:p w14:paraId="452CB1A6" w14:textId="77777777" w:rsidR="00141BFB" w:rsidRDefault="00141BFB" w:rsidP="00141BFB">
            <w:pPr>
              <w:autoSpaceDE w:val="0"/>
              <w:autoSpaceDN w:val="0"/>
              <w:adjustRightInd w:val="0"/>
              <w:spacing w:before="120" w:after="120"/>
              <w:jc w:val="center"/>
              <w:rPr>
                <w:rFonts w:eastAsia="Times New Roman" w:cstheme="minorHAnsi"/>
                <w:color w:val="7F7F7F" w:themeColor="text1" w:themeTint="80"/>
                <w:sz w:val="20"/>
                <w:szCs w:val="20"/>
                <w:lang w:eastAsia="es-ES"/>
              </w:rPr>
            </w:pPr>
          </w:p>
        </w:tc>
        <w:tc>
          <w:tcPr>
            <w:tcW w:w="7505" w:type="dxa"/>
          </w:tcPr>
          <w:p w14:paraId="5EA7FAA1" w14:textId="77777777" w:rsidR="00141BFB" w:rsidRDefault="00141BFB" w:rsidP="00ED4179">
            <w:pPr>
              <w:autoSpaceDE w:val="0"/>
              <w:autoSpaceDN w:val="0"/>
              <w:adjustRightInd w:val="0"/>
              <w:spacing w:before="120" w:after="120"/>
              <w:jc w:val="both"/>
              <w:rPr>
                <w:rFonts w:eastAsia="Times New Roman" w:cstheme="minorHAnsi"/>
                <w:color w:val="7F7F7F" w:themeColor="text1" w:themeTint="80"/>
                <w:sz w:val="20"/>
                <w:szCs w:val="20"/>
                <w:lang w:eastAsia="es-ES"/>
              </w:rPr>
            </w:pPr>
          </w:p>
        </w:tc>
      </w:tr>
    </w:tbl>
    <w:p w14:paraId="2F5690A0" w14:textId="77777777" w:rsidR="00141BFB" w:rsidRPr="00141BFB" w:rsidRDefault="00141BFB" w:rsidP="00ED4179">
      <w:pPr>
        <w:autoSpaceDE w:val="0"/>
        <w:autoSpaceDN w:val="0"/>
        <w:adjustRightInd w:val="0"/>
        <w:spacing w:before="120" w:after="120" w:line="240" w:lineRule="auto"/>
        <w:jc w:val="both"/>
        <w:rPr>
          <w:rFonts w:eastAsia="Times New Roman" w:cstheme="minorHAnsi"/>
          <w:color w:val="7F7F7F" w:themeColor="text1" w:themeTint="80"/>
          <w:sz w:val="20"/>
          <w:szCs w:val="20"/>
          <w:lang w:eastAsia="es-ES"/>
        </w:rPr>
      </w:pPr>
    </w:p>
    <w:sectPr w:rsidR="00141BFB" w:rsidRPr="00141BFB" w:rsidSect="009638E5">
      <w:headerReference w:type="first" r:id="rId32"/>
      <w:pgSz w:w="11906" w:h="16838" w:code="9"/>
      <w:pgMar w:top="181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18031" w14:textId="77777777" w:rsidR="00127F53" w:rsidRDefault="00127F53" w:rsidP="00354D8E">
      <w:pPr>
        <w:spacing w:after="0" w:line="240" w:lineRule="auto"/>
      </w:pPr>
      <w:r>
        <w:separator/>
      </w:r>
    </w:p>
  </w:endnote>
  <w:endnote w:type="continuationSeparator" w:id="0">
    <w:p w14:paraId="2B47221A" w14:textId="77777777" w:rsidR="00127F53" w:rsidRDefault="00127F53" w:rsidP="00354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512567"/>
      <w:docPartObj>
        <w:docPartGallery w:val="Page Numbers (Bottom of Page)"/>
        <w:docPartUnique/>
      </w:docPartObj>
    </w:sdtPr>
    <w:sdtEndPr>
      <w:rPr>
        <w:rFonts w:cstheme="minorHAnsi"/>
        <w:sz w:val="20"/>
        <w:szCs w:val="18"/>
      </w:rPr>
    </w:sdtEndPr>
    <w:sdtContent>
      <w:p w14:paraId="104BAE8D" w14:textId="77777777" w:rsidR="00127F53" w:rsidRPr="009008DA" w:rsidRDefault="00127F53">
        <w:pPr>
          <w:pStyle w:val="Piedepgina"/>
          <w:jc w:val="center"/>
          <w:rPr>
            <w:rFonts w:cstheme="minorHAnsi"/>
            <w:sz w:val="20"/>
            <w:szCs w:val="18"/>
          </w:rPr>
        </w:pPr>
        <w:r w:rsidRPr="009008DA">
          <w:rPr>
            <w:rFonts w:cstheme="minorHAnsi"/>
            <w:sz w:val="20"/>
            <w:szCs w:val="18"/>
          </w:rPr>
          <w:fldChar w:fldCharType="begin"/>
        </w:r>
        <w:r w:rsidRPr="009008DA">
          <w:rPr>
            <w:rFonts w:cstheme="minorHAnsi"/>
            <w:sz w:val="20"/>
            <w:szCs w:val="18"/>
          </w:rPr>
          <w:instrText>PAGE   \* MERGEFORMAT</w:instrText>
        </w:r>
        <w:r w:rsidRPr="009008DA">
          <w:rPr>
            <w:rFonts w:cstheme="minorHAnsi"/>
            <w:sz w:val="20"/>
            <w:szCs w:val="18"/>
          </w:rPr>
          <w:fldChar w:fldCharType="separate"/>
        </w:r>
        <w:r>
          <w:rPr>
            <w:rFonts w:cstheme="minorHAnsi"/>
            <w:noProof/>
            <w:sz w:val="20"/>
            <w:szCs w:val="18"/>
          </w:rPr>
          <w:t>17</w:t>
        </w:r>
        <w:r w:rsidRPr="009008DA">
          <w:rPr>
            <w:rFonts w:cstheme="minorHAnsi"/>
            <w:sz w:val="20"/>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078989"/>
      <w:docPartObj>
        <w:docPartGallery w:val="Page Numbers (Bottom of Page)"/>
        <w:docPartUnique/>
      </w:docPartObj>
    </w:sdtPr>
    <w:sdtEndPr>
      <w:rPr>
        <w:rFonts w:cstheme="minorHAnsi"/>
        <w:sz w:val="20"/>
        <w:szCs w:val="18"/>
      </w:rPr>
    </w:sdtEndPr>
    <w:sdtContent>
      <w:p w14:paraId="29A37802" w14:textId="77777777" w:rsidR="00127F53" w:rsidRPr="009008DA" w:rsidRDefault="00127F53" w:rsidP="004A4EF1">
        <w:pPr>
          <w:pStyle w:val="Piedepgina"/>
          <w:jc w:val="center"/>
          <w:rPr>
            <w:rFonts w:cstheme="minorHAnsi"/>
            <w:sz w:val="20"/>
            <w:szCs w:val="18"/>
          </w:rPr>
        </w:pPr>
        <w:r w:rsidRPr="009008DA">
          <w:rPr>
            <w:rFonts w:cstheme="minorHAnsi"/>
            <w:sz w:val="20"/>
            <w:szCs w:val="18"/>
          </w:rPr>
          <w:fldChar w:fldCharType="begin"/>
        </w:r>
        <w:r w:rsidRPr="009008DA">
          <w:rPr>
            <w:rFonts w:cstheme="minorHAnsi"/>
            <w:sz w:val="20"/>
            <w:szCs w:val="18"/>
          </w:rPr>
          <w:instrText>PAGE   \* MERGEFORMAT</w:instrText>
        </w:r>
        <w:r w:rsidRPr="009008DA">
          <w:rPr>
            <w:rFonts w:cstheme="minorHAnsi"/>
            <w:sz w:val="20"/>
            <w:szCs w:val="18"/>
          </w:rPr>
          <w:fldChar w:fldCharType="separate"/>
        </w:r>
        <w:r>
          <w:rPr>
            <w:rFonts w:cstheme="minorHAnsi"/>
            <w:noProof/>
            <w:sz w:val="20"/>
            <w:szCs w:val="18"/>
          </w:rPr>
          <w:t>1</w:t>
        </w:r>
        <w:r w:rsidRPr="009008DA">
          <w:rPr>
            <w:rFonts w:cstheme="minorHAnsi"/>
            <w:sz w:val="20"/>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E25E2" w14:textId="77777777" w:rsidR="00127F53" w:rsidRDefault="00127F53" w:rsidP="00354D8E">
      <w:pPr>
        <w:spacing w:after="0" w:line="240" w:lineRule="auto"/>
      </w:pPr>
      <w:r>
        <w:separator/>
      </w:r>
    </w:p>
  </w:footnote>
  <w:footnote w:type="continuationSeparator" w:id="0">
    <w:p w14:paraId="132BDEFD" w14:textId="77777777" w:rsidR="00127F53" w:rsidRDefault="00127F53" w:rsidP="00354D8E">
      <w:pPr>
        <w:spacing w:after="0" w:line="240" w:lineRule="auto"/>
      </w:pPr>
      <w:r>
        <w:continuationSeparator/>
      </w:r>
    </w:p>
  </w:footnote>
  <w:footnote w:id="1">
    <w:p w14:paraId="3C329CBD" w14:textId="7ECB4E78" w:rsidR="00127F53" w:rsidRPr="0009447B" w:rsidRDefault="00127F53" w:rsidP="0009447B">
      <w:pPr>
        <w:pStyle w:val="Textonotapie"/>
        <w:spacing w:before="120" w:after="120"/>
        <w:ind w:left="284" w:hanging="284"/>
        <w:jc w:val="both"/>
      </w:pPr>
      <w:r w:rsidRPr="0009447B">
        <w:rPr>
          <w:rStyle w:val="Refdenotaalpie"/>
        </w:rPr>
        <w:footnoteRef/>
      </w:r>
      <w:r w:rsidRPr="0009447B">
        <w:rPr>
          <w:rFonts w:cstheme="minorHAnsi"/>
        </w:rPr>
        <w:tab/>
        <w:t>De acuerdo al diccionario de términos y conceptos de la Administración Electrónica “l</w:t>
      </w:r>
      <w:r w:rsidRPr="0009447B">
        <w:t>a computación en la nube, conocida también como servicios en la nube, informática en la nube, nube de cómputo o nube de conceptos (del inglés 'Cloud Computing'), es un paradigma que permite ofrecer servicios de computación a través de una red, que usualmente es Internet”.</w:t>
      </w:r>
    </w:p>
  </w:footnote>
  <w:footnote w:id="2">
    <w:p w14:paraId="7BCDAC00" w14:textId="11EC6EB6" w:rsidR="00127F53" w:rsidRPr="0009447B" w:rsidRDefault="00127F53" w:rsidP="0009447B">
      <w:pPr>
        <w:pStyle w:val="Textonotapie"/>
        <w:spacing w:before="120" w:after="120"/>
        <w:ind w:left="284" w:hanging="284"/>
        <w:rPr>
          <w:lang w:val="en-GB"/>
        </w:rPr>
      </w:pPr>
      <w:r w:rsidRPr="0009447B">
        <w:rPr>
          <w:rStyle w:val="Refdenotaalpie"/>
        </w:rPr>
        <w:footnoteRef/>
      </w:r>
      <w:r w:rsidRPr="0009447B">
        <w:rPr>
          <w:lang w:val="en-GB"/>
        </w:rPr>
        <w:tab/>
        <w:t xml:space="preserve">National Institute of Standards and Technology </w:t>
      </w:r>
      <w:r w:rsidRPr="0009447B">
        <w:rPr>
          <w:rFonts w:cstheme="minorHAnsi"/>
          <w:lang w:val="en-GB"/>
        </w:rPr>
        <w:t>[NIST SP-800-145]</w:t>
      </w:r>
    </w:p>
  </w:footnote>
  <w:footnote w:id="3">
    <w:p w14:paraId="1D4CB374" w14:textId="040DB085" w:rsidR="00127F53" w:rsidRPr="0009447B" w:rsidRDefault="00127F53" w:rsidP="0009447B">
      <w:pPr>
        <w:pStyle w:val="Textonotapie"/>
        <w:spacing w:before="120" w:after="120"/>
        <w:ind w:left="284" w:hanging="284"/>
      </w:pPr>
      <w:r w:rsidRPr="0009447B">
        <w:rPr>
          <w:rStyle w:val="Refdenotaalpie"/>
          <w:vertAlign w:val="baseline"/>
        </w:rPr>
        <w:footnoteRef/>
      </w:r>
      <w:r w:rsidRPr="0009447B">
        <w:tab/>
        <w:t xml:space="preserve">Guía de seguridad </w:t>
      </w:r>
      <w:r w:rsidRPr="0009447B">
        <w:rPr>
          <w:i/>
        </w:rPr>
        <w:t>TIC CCN-STIC-823, Utilización de servicios en la nube</w:t>
      </w:r>
    </w:p>
  </w:footnote>
  <w:footnote w:id="4">
    <w:p w14:paraId="0A18CEFF" w14:textId="2E13E312" w:rsidR="00127F53" w:rsidRPr="0009447B" w:rsidRDefault="00127F53" w:rsidP="0009447B">
      <w:pPr>
        <w:pStyle w:val="Textonotapie"/>
        <w:spacing w:before="120" w:after="120"/>
        <w:ind w:left="284" w:hanging="284"/>
        <w:jc w:val="both"/>
        <w:rPr>
          <w:rFonts w:ascii="Calibri" w:hAnsi="Calibri" w:cs="Calibri"/>
        </w:rPr>
      </w:pPr>
      <w:r w:rsidRPr="0009447B">
        <w:rPr>
          <w:rStyle w:val="Refdenotaalpie"/>
          <w:rFonts w:ascii="Calibri" w:hAnsi="Calibri" w:cs="Calibri"/>
          <w:vertAlign w:val="baseline"/>
        </w:rPr>
        <w:footnoteRef/>
      </w:r>
      <w:r w:rsidRPr="0009447B">
        <w:rPr>
          <w:rFonts w:ascii="Calibri" w:hAnsi="Calibri" w:cs="Calibri"/>
        </w:rPr>
        <w:tab/>
        <w:t xml:space="preserve">Existen guías que especifican los controles a tener en cuenta en auditorías del proveedor de servicios cloud, como el CIS Controls Cloud Companion Guide del CIS (Center for Internet Security) o la matriz de controles cloud (Cloud Controls Matrix) de CSA (Cloud Security Alliance) y la </w:t>
      </w:r>
      <w:r w:rsidRPr="0009447B">
        <w:rPr>
          <w:rStyle w:val="Hipervnculo"/>
          <w:rFonts w:cstheme="minorHAnsi"/>
          <w:color w:val="auto"/>
          <w:u w:val="none"/>
        </w:rPr>
        <w:t xml:space="preserve">Guía </w:t>
      </w:r>
      <w:hyperlink r:id="rId1" w:history="1">
        <w:r w:rsidRPr="0009447B">
          <w:rPr>
            <w:rStyle w:val="Hipervnculo"/>
            <w:rFonts w:cstheme="minorHAnsi"/>
            <w:color w:val="auto"/>
            <w:u w:val="none"/>
          </w:rPr>
          <w:t>CCN-STIC-823, Utilización</w:t>
        </w:r>
      </w:hyperlink>
      <w:r w:rsidRPr="0009447B">
        <w:rPr>
          <w:rStyle w:val="Hipervnculo"/>
          <w:rFonts w:cstheme="minorHAnsi"/>
          <w:color w:val="auto"/>
          <w:u w:val="none"/>
        </w:rPr>
        <w:t xml:space="preserve"> de servicios en la nube, diciembre 2014</w:t>
      </w:r>
    </w:p>
  </w:footnote>
  <w:footnote w:id="5">
    <w:p w14:paraId="09B9950A" w14:textId="68747CEA" w:rsidR="00127F53" w:rsidRPr="0009447B" w:rsidRDefault="00127F53" w:rsidP="0009447B">
      <w:pPr>
        <w:pStyle w:val="Textonotapie"/>
        <w:spacing w:before="120" w:after="120"/>
        <w:ind w:left="284" w:hanging="284"/>
        <w:jc w:val="both"/>
        <w:rPr>
          <w:rStyle w:val="Refdenotaalpie"/>
          <w:vertAlign w:val="baseline"/>
        </w:rPr>
      </w:pPr>
      <w:r w:rsidRPr="0009447B">
        <w:rPr>
          <w:rStyle w:val="Refdenotaalpie"/>
          <w:vertAlign w:val="baseline"/>
        </w:rPr>
        <w:footnoteRef/>
      </w:r>
      <w:r w:rsidRPr="0009447B">
        <w:rPr>
          <w:rStyle w:val="Refdenotaalpie"/>
          <w:vertAlign w:val="baseline"/>
        </w:rPr>
        <w:t xml:space="preserve"> </w:t>
      </w:r>
      <w:r w:rsidRPr="0009447B">
        <w:tab/>
      </w:r>
      <w:r w:rsidRPr="0009447B">
        <w:rPr>
          <w:rStyle w:val="Refdenotaalpie"/>
          <w:vertAlign w:val="baseline"/>
        </w:rPr>
        <w:t>El análisis de datos de auditoría (ADA) hace referencia a metodología de auditoría basada en la utilización de programas informáticos que ayudan a los auditores en el tratamiento y análisis de la información en formato electrónico, con objeto de obtener evidencia que soporte las conclusiones de auditoría.</w:t>
      </w:r>
    </w:p>
  </w:footnote>
  <w:footnote w:id="6">
    <w:p w14:paraId="39BD120B" w14:textId="52B8DDCE" w:rsidR="00127F53" w:rsidRPr="0009447B" w:rsidRDefault="00127F53" w:rsidP="0009447B">
      <w:pPr>
        <w:pStyle w:val="Textonotapie"/>
        <w:spacing w:before="120" w:after="120"/>
        <w:ind w:left="284" w:hanging="284"/>
        <w:jc w:val="both"/>
      </w:pPr>
      <w:r w:rsidRPr="0009447B">
        <w:rPr>
          <w:rStyle w:val="Refdenotaalpie"/>
          <w:vertAlign w:val="baseline"/>
        </w:rPr>
        <w:footnoteRef/>
      </w:r>
      <w:r w:rsidRPr="0009447B">
        <w:tab/>
        <w:t>Clasificación establecida de acuerdo con diferentes guías y textos sobre cloud: CCN-STIC-823, de Utilización de servicios en la nube; The NIST Definition of Cloud Computing, etc.</w:t>
      </w:r>
    </w:p>
  </w:footnote>
  <w:footnote w:id="7">
    <w:p w14:paraId="6231E887" w14:textId="6A465B52" w:rsidR="00127F53" w:rsidRPr="0009447B" w:rsidRDefault="00127F53" w:rsidP="0009447B">
      <w:pPr>
        <w:pStyle w:val="Textonotapie"/>
        <w:spacing w:before="120" w:after="120"/>
      </w:pPr>
      <w:r w:rsidRPr="0009447B">
        <w:rPr>
          <w:rStyle w:val="Refdenotaalpie"/>
        </w:rPr>
        <w:footnoteRef/>
      </w:r>
      <w:r w:rsidRPr="0009447B">
        <w:t xml:space="preserve">  Véase </w:t>
      </w:r>
      <w:r w:rsidRPr="0009447B">
        <w:rPr>
          <w:i/>
        </w:rPr>
        <w:t>Guía de Seguridad de áreas críticas para computación en la nube</w:t>
      </w:r>
      <w:r w:rsidRPr="0009447B">
        <w:t>.</w:t>
      </w:r>
    </w:p>
  </w:footnote>
  <w:footnote w:id="8">
    <w:p w14:paraId="16F04BBE" w14:textId="2221B522" w:rsidR="00127F53" w:rsidRPr="0009447B" w:rsidRDefault="00127F53" w:rsidP="00FE2DC3">
      <w:pPr>
        <w:pStyle w:val="Textonotapie"/>
        <w:spacing w:before="120" w:after="120"/>
        <w:ind w:left="284" w:hanging="284"/>
      </w:pPr>
      <w:r w:rsidRPr="0009447B">
        <w:rPr>
          <w:rStyle w:val="Refdenotaalpie"/>
        </w:rPr>
        <w:footnoteRef/>
      </w:r>
      <w:r w:rsidRPr="0009447B">
        <w:t xml:space="preserve"> </w:t>
      </w:r>
      <w:r w:rsidRPr="0009447B">
        <w:tab/>
        <w:t>ENI: Esquema Nacional de Interoperabilidad, regulado por el Real Decreto 4/2010</w:t>
      </w:r>
      <w:r>
        <w:t>.</w:t>
      </w:r>
    </w:p>
  </w:footnote>
  <w:footnote w:id="9">
    <w:p w14:paraId="609C7807" w14:textId="022EAE66" w:rsidR="00127F53" w:rsidRPr="0009447B" w:rsidRDefault="00127F53" w:rsidP="00FE2DC3">
      <w:pPr>
        <w:pStyle w:val="Textonotapie"/>
        <w:spacing w:before="120" w:after="120"/>
        <w:ind w:left="284" w:hanging="284"/>
      </w:pPr>
      <w:r w:rsidRPr="0009447B">
        <w:rPr>
          <w:rStyle w:val="Refdenotaalpie"/>
        </w:rPr>
        <w:footnoteRef/>
      </w:r>
      <w:r w:rsidRPr="0009447B">
        <w:t xml:space="preserve"> </w:t>
      </w:r>
      <w:r w:rsidRPr="0009447B">
        <w:tab/>
        <w:t>LOPDP GDD: Ley Orgánica 3/2018 de Protección de Datos Personales y Garantía de Derechos Digitales</w:t>
      </w:r>
      <w:r>
        <w:t>.</w:t>
      </w:r>
    </w:p>
  </w:footnote>
  <w:footnote w:id="10">
    <w:p w14:paraId="4272436B" w14:textId="53E538C0" w:rsidR="00127F53" w:rsidRPr="0009447B" w:rsidRDefault="00127F53" w:rsidP="00FE2DC3">
      <w:pPr>
        <w:pStyle w:val="Textonotapie"/>
        <w:spacing w:before="120" w:after="120"/>
        <w:ind w:left="284" w:hanging="284"/>
      </w:pPr>
      <w:r w:rsidRPr="0009447B">
        <w:rPr>
          <w:rStyle w:val="Refdenotaalpie"/>
        </w:rPr>
        <w:footnoteRef/>
      </w:r>
      <w:r w:rsidRPr="0009447B">
        <w:t xml:space="preserve"> </w:t>
      </w:r>
      <w:r w:rsidRPr="0009447B">
        <w:tab/>
        <w:t>RGPD: Reglamento General de Protección de Datos, Reglamento (UE) 2016/679 del Parlamento Europeo y   del Consejo, de 27 de abril de 2016</w:t>
      </w:r>
      <w:r>
        <w:t>.</w:t>
      </w:r>
    </w:p>
  </w:footnote>
  <w:footnote w:id="11">
    <w:p w14:paraId="1652F766" w14:textId="3482321B" w:rsidR="00127F53" w:rsidRPr="0009447B" w:rsidRDefault="00127F53" w:rsidP="00FE2DC3">
      <w:pPr>
        <w:pStyle w:val="Textonotapie"/>
        <w:spacing w:before="120" w:after="120"/>
        <w:ind w:left="284" w:hanging="284"/>
      </w:pPr>
      <w:r w:rsidRPr="0009447B">
        <w:rPr>
          <w:rStyle w:val="Refdenotaalpie"/>
        </w:rPr>
        <w:footnoteRef/>
      </w:r>
      <w:r w:rsidRPr="00725ED2">
        <w:rPr>
          <w:lang w:val="en-GB"/>
        </w:rPr>
        <w:tab/>
        <w:t xml:space="preserve"> PCI DSS – Payment Card Industry Data Security Standard. </w:t>
      </w:r>
      <w:r w:rsidRPr="0009447B">
        <w:t>Normativa que han de cumplir las entidades que procesen o almacenen datos de tarjetas bancarias.</w:t>
      </w:r>
    </w:p>
  </w:footnote>
  <w:footnote w:id="12">
    <w:p w14:paraId="6FBFCD7F" w14:textId="18DC1D9A" w:rsidR="00127F53" w:rsidRPr="0009447B" w:rsidRDefault="00127F53" w:rsidP="0009447B">
      <w:pPr>
        <w:pStyle w:val="Textonotapie"/>
        <w:spacing w:before="120" w:after="120"/>
        <w:ind w:left="284" w:hanging="284"/>
      </w:pPr>
      <w:r w:rsidRPr="0009447B">
        <w:rPr>
          <w:rStyle w:val="Refdenotaalpie"/>
        </w:rPr>
        <w:footnoteRef/>
      </w:r>
      <w:r w:rsidRPr="0009447B">
        <w:tab/>
        <w:t>Según el esquema general reflejado en el Anexo 4 de la GPF-OCEX 1315 (18/11/2015)</w:t>
      </w:r>
    </w:p>
  </w:footnote>
  <w:footnote w:id="13">
    <w:p w14:paraId="1950DE7D" w14:textId="77777777" w:rsidR="00127F53" w:rsidRPr="0009447B" w:rsidRDefault="00127F53" w:rsidP="0009447B">
      <w:pPr>
        <w:pStyle w:val="Textonotapie"/>
        <w:spacing w:before="120" w:after="120"/>
        <w:ind w:left="284" w:hanging="284"/>
      </w:pPr>
      <w:r w:rsidRPr="0009447B">
        <w:rPr>
          <w:rStyle w:val="Refdenotaalpie"/>
        </w:rPr>
        <w:footnoteRef/>
      </w:r>
      <w:r w:rsidRPr="0009447B">
        <w:rPr>
          <w:rFonts w:cstheme="minorHAnsi"/>
        </w:rPr>
        <w:tab/>
        <w:t>Revisión de los Controles Generales de Tecnologías de la Información en el Anexo 4 apartado 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A1AAE" w14:textId="04C73D94" w:rsidR="00127F53" w:rsidRPr="00E34116" w:rsidRDefault="00127F53" w:rsidP="009E49E6">
    <w:pPr>
      <w:pStyle w:val="Encabezado"/>
      <w:pBdr>
        <w:top w:val="single" w:sz="18" w:space="1" w:color="999999"/>
        <w:bottom w:val="single" w:sz="18" w:space="1" w:color="999999"/>
      </w:pBdr>
      <w:spacing w:before="120" w:after="120"/>
      <w:jc w:val="both"/>
      <w:rPr>
        <w:rFonts w:cstheme="minorHAnsi"/>
        <w:b/>
        <w:bCs/>
        <w:color w:val="595959" w:themeColor="text1" w:themeTint="A6"/>
      </w:rPr>
    </w:pPr>
    <w:r w:rsidRPr="00E34116">
      <w:rPr>
        <w:rFonts w:cstheme="minorHAnsi"/>
        <w:b/>
        <w:bCs/>
        <w:color w:val="595959" w:themeColor="text1" w:themeTint="A6"/>
      </w:rPr>
      <w:t>Manual de fiscalización de la Sindicatura de Comptes</w:t>
    </w:r>
  </w:p>
  <w:p w14:paraId="0BDE7C33" w14:textId="0C37E7C0" w:rsidR="00127F53" w:rsidRPr="00E34116" w:rsidRDefault="00127F53" w:rsidP="00AD356C">
    <w:pPr>
      <w:pStyle w:val="Encabezado"/>
      <w:pBdr>
        <w:top w:val="single" w:sz="18" w:space="1" w:color="999999"/>
        <w:bottom w:val="single" w:sz="18" w:space="1" w:color="999999"/>
      </w:pBdr>
      <w:tabs>
        <w:tab w:val="clear" w:pos="4252"/>
      </w:tabs>
      <w:spacing w:before="120" w:after="120"/>
      <w:ind w:left="1418" w:hanging="1418"/>
      <w:jc w:val="both"/>
      <w:rPr>
        <w:rFonts w:cstheme="minorHAnsi"/>
        <w:b/>
        <w:bCs/>
        <w:color w:val="595959" w:themeColor="text1" w:themeTint="A6"/>
      </w:rPr>
    </w:pPr>
    <w:r w:rsidRPr="00E34116">
      <w:rPr>
        <w:rFonts w:cstheme="minorHAnsi"/>
        <w:b/>
        <w:bCs/>
        <w:color w:val="595959" w:themeColor="text1" w:themeTint="A6"/>
      </w:rPr>
      <w:t>Sección 5331</w:t>
    </w:r>
    <w:r w:rsidRPr="00E34116">
      <w:rPr>
        <w:rFonts w:cstheme="minorHAnsi"/>
        <w:b/>
        <w:bCs/>
        <w:color w:val="595959" w:themeColor="text1" w:themeTint="A6"/>
      </w:rPr>
      <w:tab/>
      <w:t>Guía básica de auditoría en entornos de computación en la nube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B2597" w14:textId="1C28F4F5" w:rsidR="00127F53" w:rsidRPr="00844BE5" w:rsidRDefault="00127F53" w:rsidP="002E5812">
    <w:pPr>
      <w:pStyle w:val="Encabezado"/>
      <w:pBdr>
        <w:top w:val="single" w:sz="18" w:space="1" w:color="A6A6A6" w:themeColor="background1" w:themeShade="A6"/>
        <w:bottom w:val="single" w:sz="18" w:space="1" w:color="A6A6A6" w:themeColor="background1" w:themeShade="A6"/>
      </w:pBdr>
      <w:spacing w:before="120" w:after="120"/>
      <w:jc w:val="both"/>
      <w:rPr>
        <w:rFonts w:cstheme="minorHAnsi"/>
        <w:b/>
        <w:bCs/>
        <w:color w:val="595959" w:themeColor="text1" w:themeTint="A6"/>
        <w:sz w:val="24"/>
        <w:szCs w:val="24"/>
      </w:rPr>
    </w:pPr>
    <w:r>
      <w:rPr>
        <w:rFonts w:cstheme="minorHAnsi"/>
        <w:b/>
        <w:bCs/>
        <w:color w:val="595959" w:themeColor="text1" w:themeTint="A6"/>
        <w:sz w:val="24"/>
        <w:szCs w:val="24"/>
      </w:rPr>
      <w:t>Manual de fiscalización de la Sindicatura de Comptes</w:t>
    </w:r>
  </w:p>
  <w:p w14:paraId="6FCDFE6D" w14:textId="6928E3A0" w:rsidR="00127F53" w:rsidRPr="00844BE5" w:rsidRDefault="00127F53" w:rsidP="002E5812">
    <w:pPr>
      <w:pStyle w:val="Encabezado"/>
      <w:pBdr>
        <w:top w:val="single" w:sz="18" w:space="1" w:color="A6A6A6" w:themeColor="background1" w:themeShade="A6"/>
        <w:bottom w:val="single" w:sz="18" w:space="1" w:color="A6A6A6" w:themeColor="background1" w:themeShade="A6"/>
      </w:pBdr>
      <w:tabs>
        <w:tab w:val="clear" w:pos="4252"/>
        <w:tab w:val="left" w:pos="1560"/>
      </w:tabs>
      <w:spacing w:before="120" w:after="120"/>
      <w:jc w:val="both"/>
      <w:rPr>
        <w:rFonts w:cstheme="minorHAnsi"/>
        <w:b/>
        <w:bCs/>
        <w:color w:val="595959" w:themeColor="text1" w:themeTint="A6"/>
        <w:sz w:val="24"/>
        <w:szCs w:val="24"/>
      </w:rPr>
    </w:pPr>
    <w:r>
      <w:rPr>
        <w:rFonts w:cstheme="minorHAnsi"/>
        <w:b/>
        <w:bCs/>
        <w:color w:val="595959" w:themeColor="text1" w:themeTint="A6"/>
        <w:sz w:val="24"/>
        <w:szCs w:val="24"/>
      </w:rPr>
      <w:t>Sección</w:t>
    </w:r>
    <w:r w:rsidRPr="00844BE5">
      <w:rPr>
        <w:rFonts w:cstheme="minorHAnsi"/>
        <w:b/>
        <w:bCs/>
        <w:color w:val="595959" w:themeColor="text1" w:themeTint="A6"/>
        <w:sz w:val="24"/>
        <w:szCs w:val="24"/>
      </w:rPr>
      <w:t xml:space="preserve"> 5331</w:t>
    </w:r>
    <w:r w:rsidRPr="00844BE5">
      <w:rPr>
        <w:rFonts w:cstheme="minorHAnsi"/>
        <w:b/>
        <w:bCs/>
        <w:color w:val="595959" w:themeColor="text1" w:themeTint="A6"/>
        <w:sz w:val="24"/>
        <w:szCs w:val="24"/>
      </w:rPr>
      <w:tab/>
      <w:t>Guía básica</w:t>
    </w:r>
    <w:r>
      <w:rPr>
        <w:rFonts w:cstheme="minorHAnsi"/>
        <w:b/>
        <w:bCs/>
        <w:color w:val="595959" w:themeColor="text1" w:themeTint="A6"/>
        <w:sz w:val="24"/>
        <w:szCs w:val="24"/>
      </w:rPr>
      <w:t xml:space="preserve"> de auditoría en entornos de computación en la nube</w:t>
    </w:r>
  </w:p>
  <w:p w14:paraId="02242D33" w14:textId="3E8A5F64" w:rsidR="00127F53" w:rsidRDefault="00127F53" w:rsidP="002E5812">
    <w:pPr>
      <w:pBdr>
        <w:top w:val="single" w:sz="18" w:space="1" w:color="A6A6A6" w:themeColor="background1" w:themeShade="A6"/>
        <w:bottom w:val="single" w:sz="18" w:space="1" w:color="A6A6A6" w:themeColor="background1" w:themeShade="A6"/>
      </w:pBdr>
      <w:tabs>
        <w:tab w:val="left" w:pos="1560"/>
      </w:tabs>
      <w:spacing w:before="120" w:after="120"/>
      <w:rPr>
        <w:rFonts w:cstheme="minorHAnsi"/>
        <w:color w:val="404040" w:themeColor="text1" w:themeTint="BF"/>
      </w:rPr>
    </w:pPr>
    <w:r w:rsidRPr="00AF3A33">
      <w:rPr>
        <w:rFonts w:cstheme="minorHAnsi"/>
        <w:b/>
        <w:color w:val="404040" w:themeColor="text1" w:themeTint="BF"/>
      </w:rPr>
      <w:t>Referencia:</w:t>
    </w:r>
    <w:r w:rsidRPr="00AF3A33">
      <w:rPr>
        <w:rFonts w:cstheme="minorHAnsi"/>
        <w:color w:val="404040" w:themeColor="text1" w:themeTint="BF"/>
      </w:rPr>
      <w:tab/>
    </w:r>
    <w:r>
      <w:rPr>
        <w:rFonts w:cstheme="minorHAnsi"/>
        <w:color w:val="404040" w:themeColor="text1" w:themeTint="BF"/>
      </w:rPr>
      <w:t>GPF-OCEX 5330</w:t>
    </w:r>
  </w:p>
  <w:p w14:paraId="59A83E6D" w14:textId="07E33B65" w:rsidR="00127F53" w:rsidRPr="00AF3A33" w:rsidRDefault="00127F53" w:rsidP="002E5812">
    <w:pPr>
      <w:pBdr>
        <w:top w:val="single" w:sz="18" w:space="1" w:color="A6A6A6" w:themeColor="background1" w:themeShade="A6"/>
        <w:bottom w:val="single" w:sz="18" w:space="1" w:color="A6A6A6" w:themeColor="background1" w:themeShade="A6"/>
      </w:pBdr>
      <w:tabs>
        <w:tab w:val="left" w:pos="1560"/>
      </w:tabs>
      <w:spacing w:before="120" w:after="120"/>
      <w:rPr>
        <w:rFonts w:cstheme="minorHAnsi"/>
        <w:color w:val="404040" w:themeColor="text1" w:themeTint="BF"/>
      </w:rPr>
    </w:pPr>
    <w:r w:rsidRPr="00AF3A33">
      <w:rPr>
        <w:rFonts w:cstheme="minorHAnsi"/>
        <w:i/>
        <w:color w:val="404040" w:themeColor="text1" w:themeTint="BF"/>
      </w:rPr>
      <w:t xml:space="preserve">Aprobada por el Consejo de la Sindicatura el </w:t>
    </w:r>
    <w:r>
      <w:rPr>
        <w:rFonts w:cstheme="minorHAnsi"/>
        <w:i/>
        <w:color w:val="404040" w:themeColor="text1" w:themeTint="BF"/>
      </w:rPr>
      <w:t>15</w:t>
    </w:r>
    <w:r w:rsidRPr="00AF3A33">
      <w:rPr>
        <w:rFonts w:cstheme="minorHAnsi"/>
        <w:i/>
        <w:color w:val="404040" w:themeColor="text1" w:themeTint="BF"/>
      </w:rPr>
      <w:t>/</w:t>
    </w:r>
    <w:r>
      <w:rPr>
        <w:rFonts w:cstheme="minorHAnsi"/>
        <w:i/>
        <w:color w:val="404040" w:themeColor="text1" w:themeTint="BF"/>
      </w:rPr>
      <w:t>07</w:t>
    </w:r>
    <w:r w:rsidRPr="00AF3A33">
      <w:rPr>
        <w:rFonts w:cstheme="minorHAnsi"/>
        <w:i/>
        <w:color w:val="404040" w:themeColor="text1" w:themeTint="BF"/>
      </w:rPr>
      <w:t>/2019</w:t>
    </w:r>
    <w:r>
      <w:rPr>
        <w:rFonts w:cstheme="minorHAnsi"/>
        <w:i/>
        <w:color w:val="404040" w:themeColor="text1" w:themeTint="BF"/>
      </w:rPr>
      <w:t>,</w:t>
    </w:r>
    <w:r w:rsidRPr="00AF3A33">
      <w:rPr>
        <w:rFonts w:cstheme="minorHAnsi"/>
        <w:i/>
        <w:color w:val="404040" w:themeColor="text1" w:themeTint="BF"/>
      </w:rPr>
      <w:t xml:space="preserve"> </w:t>
    </w:r>
    <w:r>
      <w:rPr>
        <w:rFonts w:cstheme="minorHAnsi"/>
        <w:i/>
        <w:color w:val="404040" w:themeColor="text1" w:themeTint="BF"/>
      </w:rPr>
      <w:t>actualizado por el GTS el 17/02/2020.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41A6E" w14:textId="77777777" w:rsidR="00127F53" w:rsidRPr="00E34116" w:rsidRDefault="00127F53" w:rsidP="00E34116">
    <w:pPr>
      <w:pStyle w:val="Encabezado"/>
      <w:pBdr>
        <w:top w:val="single" w:sz="18" w:space="1" w:color="999999"/>
        <w:bottom w:val="single" w:sz="18" w:space="1" w:color="999999"/>
      </w:pBdr>
      <w:spacing w:before="120" w:after="120"/>
      <w:jc w:val="both"/>
      <w:rPr>
        <w:rFonts w:cstheme="minorHAnsi"/>
        <w:b/>
        <w:bCs/>
        <w:color w:val="595959" w:themeColor="text1" w:themeTint="A6"/>
      </w:rPr>
    </w:pPr>
    <w:r w:rsidRPr="00E34116">
      <w:rPr>
        <w:rFonts w:cstheme="minorHAnsi"/>
        <w:b/>
        <w:bCs/>
        <w:color w:val="595959" w:themeColor="text1" w:themeTint="A6"/>
      </w:rPr>
      <w:t>Manual de fiscalización de la Sindicatura de Comptes</w:t>
    </w:r>
  </w:p>
  <w:p w14:paraId="2986A243" w14:textId="77777777" w:rsidR="00127F53" w:rsidRPr="00E34116" w:rsidRDefault="00127F53" w:rsidP="00E34116">
    <w:pPr>
      <w:pStyle w:val="Encabezado"/>
      <w:pBdr>
        <w:top w:val="single" w:sz="18" w:space="1" w:color="999999"/>
        <w:bottom w:val="single" w:sz="18" w:space="1" w:color="999999"/>
      </w:pBdr>
      <w:tabs>
        <w:tab w:val="clear" w:pos="4252"/>
      </w:tabs>
      <w:spacing w:before="120" w:after="120"/>
      <w:ind w:left="1418" w:hanging="1418"/>
      <w:jc w:val="both"/>
      <w:rPr>
        <w:rFonts w:cstheme="minorHAnsi"/>
        <w:b/>
        <w:bCs/>
        <w:color w:val="595959" w:themeColor="text1" w:themeTint="A6"/>
      </w:rPr>
    </w:pPr>
    <w:r w:rsidRPr="00E34116">
      <w:rPr>
        <w:rFonts w:cstheme="minorHAnsi"/>
        <w:b/>
        <w:bCs/>
        <w:color w:val="595959" w:themeColor="text1" w:themeTint="A6"/>
      </w:rPr>
      <w:t>Sección 5331</w:t>
    </w:r>
    <w:r w:rsidRPr="00E34116">
      <w:rPr>
        <w:rFonts w:cstheme="minorHAnsi"/>
        <w:b/>
        <w:bCs/>
        <w:color w:val="595959" w:themeColor="text1" w:themeTint="A6"/>
      </w:rPr>
      <w:tab/>
      <w:t>Guía básica de auditoría en entornos de computación en la nube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88AF5" w14:textId="77777777" w:rsidR="00127F53" w:rsidRPr="00E34116" w:rsidRDefault="00127F53" w:rsidP="00E34116">
    <w:pPr>
      <w:pStyle w:val="Encabezado"/>
      <w:pBdr>
        <w:top w:val="single" w:sz="18" w:space="1" w:color="999999"/>
        <w:bottom w:val="single" w:sz="18" w:space="1" w:color="999999"/>
      </w:pBdr>
      <w:spacing w:before="120" w:after="120"/>
      <w:jc w:val="both"/>
      <w:rPr>
        <w:rFonts w:cstheme="minorHAnsi"/>
        <w:b/>
        <w:bCs/>
        <w:color w:val="595959" w:themeColor="text1" w:themeTint="A6"/>
      </w:rPr>
    </w:pPr>
    <w:r w:rsidRPr="00E34116">
      <w:rPr>
        <w:rFonts w:cstheme="minorHAnsi"/>
        <w:b/>
        <w:bCs/>
        <w:color w:val="595959" w:themeColor="text1" w:themeTint="A6"/>
      </w:rPr>
      <w:t>Manual de fiscalización de la Sindicatura de Comptes</w:t>
    </w:r>
  </w:p>
  <w:p w14:paraId="5CA79E50" w14:textId="77777777" w:rsidR="00127F53" w:rsidRPr="00E34116" w:rsidRDefault="00127F53" w:rsidP="00E34116">
    <w:pPr>
      <w:pStyle w:val="Encabezado"/>
      <w:pBdr>
        <w:top w:val="single" w:sz="18" w:space="1" w:color="999999"/>
        <w:bottom w:val="single" w:sz="18" w:space="1" w:color="999999"/>
      </w:pBdr>
      <w:tabs>
        <w:tab w:val="clear" w:pos="4252"/>
      </w:tabs>
      <w:spacing w:before="120" w:after="120"/>
      <w:ind w:left="1418" w:hanging="1418"/>
      <w:jc w:val="both"/>
      <w:rPr>
        <w:rFonts w:cstheme="minorHAnsi"/>
        <w:b/>
        <w:bCs/>
        <w:color w:val="595959" w:themeColor="text1" w:themeTint="A6"/>
      </w:rPr>
    </w:pPr>
    <w:r w:rsidRPr="00E34116">
      <w:rPr>
        <w:rFonts w:cstheme="minorHAnsi"/>
        <w:b/>
        <w:bCs/>
        <w:color w:val="595959" w:themeColor="text1" w:themeTint="A6"/>
      </w:rPr>
      <w:t>Sección 5331</w:t>
    </w:r>
    <w:r w:rsidRPr="00E34116">
      <w:rPr>
        <w:rFonts w:cstheme="minorHAnsi"/>
        <w:b/>
        <w:bCs/>
        <w:color w:val="595959" w:themeColor="text1" w:themeTint="A6"/>
      </w:rPr>
      <w:tab/>
      <w:t>Guía básica de auditoría en entornos de computación en la nube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735D"/>
    <w:multiLevelType w:val="hybridMultilevel"/>
    <w:tmpl w:val="6BCE5EA2"/>
    <w:lvl w:ilvl="0" w:tplc="0C0A0001">
      <w:start w:val="1"/>
      <w:numFmt w:val="bullet"/>
      <w:lvlText w:val=""/>
      <w:lvlJc w:val="left"/>
      <w:pPr>
        <w:ind w:left="720" w:hanging="360"/>
      </w:pPr>
      <w:rPr>
        <w:rFonts w:ascii="Symbol" w:hAnsi="Symbol" w:hint="default"/>
      </w:rPr>
    </w:lvl>
    <w:lvl w:ilvl="1" w:tplc="DF3C9402">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8066CD"/>
    <w:multiLevelType w:val="hybridMultilevel"/>
    <w:tmpl w:val="16AE83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916252"/>
    <w:multiLevelType w:val="hybridMultilevel"/>
    <w:tmpl w:val="91468F4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9F7579B"/>
    <w:multiLevelType w:val="hybridMultilevel"/>
    <w:tmpl w:val="3CE69B1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17">
      <w:start w:val="1"/>
      <w:numFmt w:val="lowerLetter"/>
      <w:lvlText w:val="%4)"/>
      <w:lvlJc w:val="left"/>
      <w:pPr>
        <w:ind w:left="2880" w:hanging="360"/>
      </w:pPr>
      <w:rPr>
        <w:rFonts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F0B2959"/>
    <w:multiLevelType w:val="hybridMultilevel"/>
    <w:tmpl w:val="081EB2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A87C3A"/>
    <w:multiLevelType w:val="hybridMultilevel"/>
    <w:tmpl w:val="2EB063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F055EA"/>
    <w:multiLevelType w:val="hybridMultilevel"/>
    <w:tmpl w:val="DDE2C4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555545"/>
    <w:multiLevelType w:val="hybridMultilevel"/>
    <w:tmpl w:val="33383EF2"/>
    <w:lvl w:ilvl="0" w:tplc="0C0A0003">
      <w:start w:val="1"/>
      <w:numFmt w:val="bullet"/>
      <w:lvlText w:val="o"/>
      <w:lvlJc w:val="left"/>
      <w:pPr>
        <w:ind w:left="1481" w:hanging="360"/>
      </w:pPr>
      <w:rPr>
        <w:rFonts w:ascii="Courier New" w:hAnsi="Courier New" w:cs="Courier New" w:hint="default"/>
      </w:rPr>
    </w:lvl>
    <w:lvl w:ilvl="1" w:tplc="0C0A0003" w:tentative="1">
      <w:start w:val="1"/>
      <w:numFmt w:val="bullet"/>
      <w:lvlText w:val="o"/>
      <w:lvlJc w:val="left"/>
      <w:pPr>
        <w:ind w:left="2201" w:hanging="360"/>
      </w:pPr>
      <w:rPr>
        <w:rFonts w:ascii="Courier New" w:hAnsi="Courier New" w:cs="Courier New" w:hint="default"/>
      </w:rPr>
    </w:lvl>
    <w:lvl w:ilvl="2" w:tplc="0C0A0005" w:tentative="1">
      <w:start w:val="1"/>
      <w:numFmt w:val="bullet"/>
      <w:lvlText w:val=""/>
      <w:lvlJc w:val="left"/>
      <w:pPr>
        <w:ind w:left="2921" w:hanging="360"/>
      </w:pPr>
      <w:rPr>
        <w:rFonts w:ascii="Wingdings" w:hAnsi="Wingdings" w:hint="default"/>
      </w:rPr>
    </w:lvl>
    <w:lvl w:ilvl="3" w:tplc="0C0A0001" w:tentative="1">
      <w:start w:val="1"/>
      <w:numFmt w:val="bullet"/>
      <w:lvlText w:val=""/>
      <w:lvlJc w:val="left"/>
      <w:pPr>
        <w:ind w:left="3641" w:hanging="360"/>
      </w:pPr>
      <w:rPr>
        <w:rFonts w:ascii="Symbol" w:hAnsi="Symbol" w:hint="default"/>
      </w:rPr>
    </w:lvl>
    <w:lvl w:ilvl="4" w:tplc="0C0A0003" w:tentative="1">
      <w:start w:val="1"/>
      <w:numFmt w:val="bullet"/>
      <w:lvlText w:val="o"/>
      <w:lvlJc w:val="left"/>
      <w:pPr>
        <w:ind w:left="4361" w:hanging="360"/>
      </w:pPr>
      <w:rPr>
        <w:rFonts w:ascii="Courier New" w:hAnsi="Courier New" w:cs="Courier New" w:hint="default"/>
      </w:rPr>
    </w:lvl>
    <w:lvl w:ilvl="5" w:tplc="0C0A0005" w:tentative="1">
      <w:start w:val="1"/>
      <w:numFmt w:val="bullet"/>
      <w:lvlText w:val=""/>
      <w:lvlJc w:val="left"/>
      <w:pPr>
        <w:ind w:left="5081" w:hanging="360"/>
      </w:pPr>
      <w:rPr>
        <w:rFonts w:ascii="Wingdings" w:hAnsi="Wingdings" w:hint="default"/>
      </w:rPr>
    </w:lvl>
    <w:lvl w:ilvl="6" w:tplc="0C0A0001" w:tentative="1">
      <w:start w:val="1"/>
      <w:numFmt w:val="bullet"/>
      <w:lvlText w:val=""/>
      <w:lvlJc w:val="left"/>
      <w:pPr>
        <w:ind w:left="5801" w:hanging="360"/>
      </w:pPr>
      <w:rPr>
        <w:rFonts w:ascii="Symbol" w:hAnsi="Symbol" w:hint="default"/>
      </w:rPr>
    </w:lvl>
    <w:lvl w:ilvl="7" w:tplc="0C0A0003" w:tentative="1">
      <w:start w:val="1"/>
      <w:numFmt w:val="bullet"/>
      <w:lvlText w:val="o"/>
      <w:lvlJc w:val="left"/>
      <w:pPr>
        <w:ind w:left="6521" w:hanging="360"/>
      </w:pPr>
      <w:rPr>
        <w:rFonts w:ascii="Courier New" w:hAnsi="Courier New" w:cs="Courier New" w:hint="default"/>
      </w:rPr>
    </w:lvl>
    <w:lvl w:ilvl="8" w:tplc="0C0A0005" w:tentative="1">
      <w:start w:val="1"/>
      <w:numFmt w:val="bullet"/>
      <w:lvlText w:val=""/>
      <w:lvlJc w:val="left"/>
      <w:pPr>
        <w:ind w:left="7241" w:hanging="360"/>
      </w:pPr>
      <w:rPr>
        <w:rFonts w:ascii="Wingdings" w:hAnsi="Wingdings" w:hint="default"/>
      </w:rPr>
    </w:lvl>
  </w:abstractNum>
  <w:abstractNum w:abstractNumId="8" w15:restartNumberingAfterBreak="0">
    <w:nsid w:val="294901FE"/>
    <w:multiLevelType w:val="hybridMultilevel"/>
    <w:tmpl w:val="BC9A11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9C17EE2"/>
    <w:multiLevelType w:val="hybridMultilevel"/>
    <w:tmpl w:val="1826D860"/>
    <w:lvl w:ilvl="0" w:tplc="966AD81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CC13354"/>
    <w:multiLevelType w:val="hybridMultilevel"/>
    <w:tmpl w:val="673E16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2314348"/>
    <w:multiLevelType w:val="hybridMultilevel"/>
    <w:tmpl w:val="90A69DF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BB5E23"/>
    <w:multiLevelType w:val="hybridMultilevel"/>
    <w:tmpl w:val="82D6B02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914CC6"/>
    <w:multiLevelType w:val="hybridMultilevel"/>
    <w:tmpl w:val="DDE2C4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A451B2C"/>
    <w:multiLevelType w:val="hybridMultilevel"/>
    <w:tmpl w:val="18A0013E"/>
    <w:lvl w:ilvl="0" w:tplc="EF701BFA">
      <w:start w:val="1"/>
      <w:numFmt w:val="bullet"/>
      <w:lvlText w:val="-"/>
      <w:lvlJc w:val="left"/>
      <w:pPr>
        <w:ind w:left="720" w:hanging="360"/>
      </w:pPr>
      <w:rPr>
        <w:rFonts w:ascii="Times New Roman" w:hAnsi="Times New Roman" w:cs="Times New Roman"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DBB6B08"/>
    <w:multiLevelType w:val="hybridMultilevel"/>
    <w:tmpl w:val="550E6D9C"/>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FB70D90"/>
    <w:multiLevelType w:val="hybridMultilevel"/>
    <w:tmpl w:val="DC3459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1A638F7"/>
    <w:multiLevelType w:val="hybridMultilevel"/>
    <w:tmpl w:val="50A8C1BE"/>
    <w:lvl w:ilvl="0" w:tplc="EB78E9D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7A54921"/>
    <w:multiLevelType w:val="hybridMultilevel"/>
    <w:tmpl w:val="C340096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8B2126A"/>
    <w:multiLevelType w:val="hybridMultilevel"/>
    <w:tmpl w:val="49128D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44B6E04"/>
    <w:multiLevelType w:val="hybridMultilevel"/>
    <w:tmpl w:val="104EC3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DEB2F98"/>
    <w:multiLevelType w:val="hybridMultilevel"/>
    <w:tmpl w:val="673E16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FED2581"/>
    <w:multiLevelType w:val="hybridMultilevel"/>
    <w:tmpl w:val="F4585A12"/>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740D607F"/>
    <w:multiLevelType w:val="hybridMultilevel"/>
    <w:tmpl w:val="939064BE"/>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745078EE"/>
    <w:multiLevelType w:val="hybridMultilevel"/>
    <w:tmpl w:val="4878A920"/>
    <w:lvl w:ilvl="0" w:tplc="EB78E9D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4D26B49"/>
    <w:multiLevelType w:val="hybridMultilevel"/>
    <w:tmpl w:val="2BB65EB8"/>
    <w:lvl w:ilvl="0" w:tplc="EF701BFA">
      <w:start w:val="1"/>
      <w:numFmt w:val="bullet"/>
      <w:lvlText w:val="-"/>
      <w:lvlJc w:val="left"/>
      <w:pPr>
        <w:ind w:left="720" w:hanging="360"/>
      </w:pPr>
      <w:rPr>
        <w:rFonts w:ascii="Times New Roman" w:hAnsi="Times New Roman" w:cs="Times New Roman"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7A65BD4"/>
    <w:multiLevelType w:val="hybridMultilevel"/>
    <w:tmpl w:val="42CAC246"/>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8397FB5"/>
    <w:multiLevelType w:val="hybridMultilevel"/>
    <w:tmpl w:val="8CE0FA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3"/>
  </w:num>
  <w:num w:numId="4">
    <w:abstractNumId w:val="6"/>
  </w:num>
  <w:num w:numId="5">
    <w:abstractNumId w:val="11"/>
  </w:num>
  <w:num w:numId="6">
    <w:abstractNumId w:val="21"/>
  </w:num>
  <w:num w:numId="7">
    <w:abstractNumId w:val="7"/>
  </w:num>
  <w:num w:numId="8">
    <w:abstractNumId w:val="2"/>
  </w:num>
  <w:num w:numId="9">
    <w:abstractNumId w:val="18"/>
  </w:num>
  <w:num w:numId="10">
    <w:abstractNumId w:val="23"/>
  </w:num>
  <w:num w:numId="11">
    <w:abstractNumId w:val="22"/>
  </w:num>
  <w:num w:numId="12">
    <w:abstractNumId w:val="16"/>
  </w:num>
  <w:num w:numId="13">
    <w:abstractNumId w:val="15"/>
  </w:num>
  <w:num w:numId="14">
    <w:abstractNumId w:val="12"/>
  </w:num>
  <w:num w:numId="15">
    <w:abstractNumId w:val="0"/>
  </w:num>
  <w:num w:numId="16">
    <w:abstractNumId w:val="27"/>
  </w:num>
  <w:num w:numId="17">
    <w:abstractNumId w:val="1"/>
  </w:num>
  <w:num w:numId="18">
    <w:abstractNumId w:val="20"/>
  </w:num>
  <w:num w:numId="19">
    <w:abstractNumId w:val="10"/>
  </w:num>
  <w:num w:numId="20">
    <w:abstractNumId w:val="24"/>
  </w:num>
  <w:num w:numId="21">
    <w:abstractNumId w:val="9"/>
  </w:num>
  <w:num w:numId="22">
    <w:abstractNumId w:val="17"/>
  </w:num>
  <w:num w:numId="23">
    <w:abstractNumId w:val="3"/>
  </w:num>
  <w:num w:numId="24">
    <w:abstractNumId w:val="25"/>
  </w:num>
  <w:num w:numId="25">
    <w:abstractNumId w:val="14"/>
  </w:num>
  <w:num w:numId="26">
    <w:abstractNumId w:val="5"/>
  </w:num>
  <w:num w:numId="27">
    <w:abstractNumId w:val="26"/>
  </w:num>
  <w:num w:numId="2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F4F"/>
    <w:rsid w:val="000004B8"/>
    <w:rsid w:val="000045F2"/>
    <w:rsid w:val="00006CDD"/>
    <w:rsid w:val="000104BF"/>
    <w:rsid w:val="00011BC7"/>
    <w:rsid w:val="00011D6F"/>
    <w:rsid w:val="00012B41"/>
    <w:rsid w:val="00012CAF"/>
    <w:rsid w:val="00014980"/>
    <w:rsid w:val="000229D8"/>
    <w:rsid w:val="00023059"/>
    <w:rsid w:val="0002389D"/>
    <w:rsid w:val="00024CCA"/>
    <w:rsid w:val="00025B4C"/>
    <w:rsid w:val="00031E59"/>
    <w:rsid w:val="00034217"/>
    <w:rsid w:val="0004125F"/>
    <w:rsid w:val="00041CA7"/>
    <w:rsid w:val="00046160"/>
    <w:rsid w:val="000479B5"/>
    <w:rsid w:val="00047A2B"/>
    <w:rsid w:val="00051266"/>
    <w:rsid w:val="00053E3F"/>
    <w:rsid w:val="0005618F"/>
    <w:rsid w:val="00061E36"/>
    <w:rsid w:val="00067699"/>
    <w:rsid w:val="00072084"/>
    <w:rsid w:val="00072F47"/>
    <w:rsid w:val="000741C7"/>
    <w:rsid w:val="00076F77"/>
    <w:rsid w:val="000818DC"/>
    <w:rsid w:val="00081BCF"/>
    <w:rsid w:val="000827C8"/>
    <w:rsid w:val="00084983"/>
    <w:rsid w:val="00085202"/>
    <w:rsid w:val="000868BC"/>
    <w:rsid w:val="0009447B"/>
    <w:rsid w:val="0009479A"/>
    <w:rsid w:val="000953D0"/>
    <w:rsid w:val="00096C32"/>
    <w:rsid w:val="000A33B1"/>
    <w:rsid w:val="000A499C"/>
    <w:rsid w:val="000A4A67"/>
    <w:rsid w:val="000A61E6"/>
    <w:rsid w:val="000B49EE"/>
    <w:rsid w:val="000C2AEC"/>
    <w:rsid w:val="000C33C5"/>
    <w:rsid w:val="000C517D"/>
    <w:rsid w:val="000C68D6"/>
    <w:rsid w:val="000D2352"/>
    <w:rsid w:val="000D40D6"/>
    <w:rsid w:val="000D7244"/>
    <w:rsid w:val="000D7D8C"/>
    <w:rsid w:val="000D7F1B"/>
    <w:rsid w:val="000E1FF7"/>
    <w:rsid w:val="000E28A2"/>
    <w:rsid w:val="000F13C6"/>
    <w:rsid w:val="000F6FD3"/>
    <w:rsid w:val="00101110"/>
    <w:rsid w:val="00102615"/>
    <w:rsid w:val="00103E26"/>
    <w:rsid w:val="001043E1"/>
    <w:rsid w:val="00105D43"/>
    <w:rsid w:val="001061B4"/>
    <w:rsid w:val="001107D3"/>
    <w:rsid w:val="001148F6"/>
    <w:rsid w:val="00116B7A"/>
    <w:rsid w:val="001247C9"/>
    <w:rsid w:val="00127F53"/>
    <w:rsid w:val="00132B01"/>
    <w:rsid w:val="00135E6B"/>
    <w:rsid w:val="0014033D"/>
    <w:rsid w:val="00141BFB"/>
    <w:rsid w:val="00147573"/>
    <w:rsid w:val="00151291"/>
    <w:rsid w:val="00151ABC"/>
    <w:rsid w:val="001532FA"/>
    <w:rsid w:val="00153F96"/>
    <w:rsid w:val="00155082"/>
    <w:rsid w:val="001555B4"/>
    <w:rsid w:val="00163E2E"/>
    <w:rsid w:val="00167764"/>
    <w:rsid w:val="001709E0"/>
    <w:rsid w:val="00172B48"/>
    <w:rsid w:val="0017534D"/>
    <w:rsid w:val="001814CF"/>
    <w:rsid w:val="00184648"/>
    <w:rsid w:val="00185EF9"/>
    <w:rsid w:val="00187F2B"/>
    <w:rsid w:val="00192BCD"/>
    <w:rsid w:val="001A73BA"/>
    <w:rsid w:val="001A7B56"/>
    <w:rsid w:val="001B1AE6"/>
    <w:rsid w:val="001B2A14"/>
    <w:rsid w:val="001B6354"/>
    <w:rsid w:val="001B783F"/>
    <w:rsid w:val="001C161F"/>
    <w:rsid w:val="001C2CBC"/>
    <w:rsid w:val="001C6AF8"/>
    <w:rsid w:val="001C7784"/>
    <w:rsid w:val="001D05BA"/>
    <w:rsid w:val="001D3F6D"/>
    <w:rsid w:val="001D4EB2"/>
    <w:rsid w:val="001D68C7"/>
    <w:rsid w:val="001D7BAB"/>
    <w:rsid w:val="001E142E"/>
    <w:rsid w:val="001E339F"/>
    <w:rsid w:val="001F62EE"/>
    <w:rsid w:val="001F7568"/>
    <w:rsid w:val="00200415"/>
    <w:rsid w:val="00202D1E"/>
    <w:rsid w:val="00207B22"/>
    <w:rsid w:val="002113F0"/>
    <w:rsid w:val="00211A3A"/>
    <w:rsid w:val="00216FDB"/>
    <w:rsid w:val="0022212F"/>
    <w:rsid w:val="00225AC8"/>
    <w:rsid w:val="002273B2"/>
    <w:rsid w:val="00230618"/>
    <w:rsid w:val="002325CF"/>
    <w:rsid w:val="002326D1"/>
    <w:rsid w:val="00237BF7"/>
    <w:rsid w:val="00237DAF"/>
    <w:rsid w:val="002409E3"/>
    <w:rsid w:val="00241042"/>
    <w:rsid w:val="002423C1"/>
    <w:rsid w:val="0024408C"/>
    <w:rsid w:val="00244828"/>
    <w:rsid w:val="0025087A"/>
    <w:rsid w:val="0025179F"/>
    <w:rsid w:val="00252B21"/>
    <w:rsid w:val="00253472"/>
    <w:rsid w:val="00254C20"/>
    <w:rsid w:val="00256969"/>
    <w:rsid w:val="00256E09"/>
    <w:rsid w:val="00256E2A"/>
    <w:rsid w:val="00260A09"/>
    <w:rsid w:val="002622C5"/>
    <w:rsid w:val="00262CCF"/>
    <w:rsid w:val="0026379D"/>
    <w:rsid w:val="00263ADD"/>
    <w:rsid w:val="0026438A"/>
    <w:rsid w:val="00264A8D"/>
    <w:rsid w:val="00264FD9"/>
    <w:rsid w:val="00271160"/>
    <w:rsid w:val="002726D7"/>
    <w:rsid w:val="002739B3"/>
    <w:rsid w:val="00274F92"/>
    <w:rsid w:val="002779B5"/>
    <w:rsid w:val="00281FE9"/>
    <w:rsid w:val="0028359E"/>
    <w:rsid w:val="00283C07"/>
    <w:rsid w:val="0028465C"/>
    <w:rsid w:val="00287694"/>
    <w:rsid w:val="002911C8"/>
    <w:rsid w:val="00294BD3"/>
    <w:rsid w:val="00296FFA"/>
    <w:rsid w:val="002A1F60"/>
    <w:rsid w:val="002A419F"/>
    <w:rsid w:val="002A7EF1"/>
    <w:rsid w:val="002B0BD0"/>
    <w:rsid w:val="002B0F36"/>
    <w:rsid w:val="002B11FB"/>
    <w:rsid w:val="002B17B9"/>
    <w:rsid w:val="002B1C11"/>
    <w:rsid w:val="002B4057"/>
    <w:rsid w:val="002B6994"/>
    <w:rsid w:val="002C0916"/>
    <w:rsid w:val="002C1DDA"/>
    <w:rsid w:val="002C3454"/>
    <w:rsid w:val="002D05E4"/>
    <w:rsid w:val="002D1003"/>
    <w:rsid w:val="002D16D0"/>
    <w:rsid w:val="002D1E0C"/>
    <w:rsid w:val="002D2F49"/>
    <w:rsid w:val="002D3D0E"/>
    <w:rsid w:val="002E0ADE"/>
    <w:rsid w:val="002E0CF3"/>
    <w:rsid w:val="002E3312"/>
    <w:rsid w:val="002E41D0"/>
    <w:rsid w:val="002E47CA"/>
    <w:rsid w:val="002E54DB"/>
    <w:rsid w:val="002E5812"/>
    <w:rsid w:val="002E6854"/>
    <w:rsid w:val="002F285D"/>
    <w:rsid w:val="002F295B"/>
    <w:rsid w:val="002F2DD0"/>
    <w:rsid w:val="002F5917"/>
    <w:rsid w:val="002F6F6D"/>
    <w:rsid w:val="002F7E48"/>
    <w:rsid w:val="00302EB3"/>
    <w:rsid w:val="0030376E"/>
    <w:rsid w:val="00303C87"/>
    <w:rsid w:val="0030475B"/>
    <w:rsid w:val="0030668F"/>
    <w:rsid w:val="003120FC"/>
    <w:rsid w:val="003228A7"/>
    <w:rsid w:val="00326F7D"/>
    <w:rsid w:val="00327465"/>
    <w:rsid w:val="0033514F"/>
    <w:rsid w:val="00335944"/>
    <w:rsid w:val="00336880"/>
    <w:rsid w:val="00337264"/>
    <w:rsid w:val="00337ED2"/>
    <w:rsid w:val="0034293E"/>
    <w:rsid w:val="00343BEB"/>
    <w:rsid w:val="00344D48"/>
    <w:rsid w:val="00346E73"/>
    <w:rsid w:val="0034700D"/>
    <w:rsid w:val="003516AC"/>
    <w:rsid w:val="00354D8E"/>
    <w:rsid w:val="00356C5B"/>
    <w:rsid w:val="00360963"/>
    <w:rsid w:val="00360D0E"/>
    <w:rsid w:val="003610ED"/>
    <w:rsid w:val="00361137"/>
    <w:rsid w:val="0036201D"/>
    <w:rsid w:val="00367E14"/>
    <w:rsid w:val="003704EC"/>
    <w:rsid w:val="00371448"/>
    <w:rsid w:val="00381A1E"/>
    <w:rsid w:val="003830E5"/>
    <w:rsid w:val="00384C02"/>
    <w:rsid w:val="00391208"/>
    <w:rsid w:val="003973BC"/>
    <w:rsid w:val="003976B8"/>
    <w:rsid w:val="003A0A00"/>
    <w:rsid w:val="003B0AC8"/>
    <w:rsid w:val="003B0D0F"/>
    <w:rsid w:val="003B1328"/>
    <w:rsid w:val="003B14A3"/>
    <w:rsid w:val="003B1DF6"/>
    <w:rsid w:val="003B31CD"/>
    <w:rsid w:val="003B5ACC"/>
    <w:rsid w:val="003C2AF1"/>
    <w:rsid w:val="003C3544"/>
    <w:rsid w:val="003C42DB"/>
    <w:rsid w:val="003C57D3"/>
    <w:rsid w:val="003C7F2D"/>
    <w:rsid w:val="003D0BB3"/>
    <w:rsid w:val="003D1A41"/>
    <w:rsid w:val="003D230B"/>
    <w:rsid w:val="003E43C4"/>
    <w:rsid w:val="003E504A"/>
    <w:rsid w:val="003E508B"/>
    <w:rsid w:val="003F0446"/>
    <w:rsid w:val="003F4C87"/>
    <w:rsid w:val="0040162D"/>
    <w:rsid w:val="004036D5"/>
    <w:rsid w:val="00404637"/>
    <w:rsid w:val="004051E2"/>
    <w:rsid w:val="0041155F"/>
    <w:rsid w:val="00412392"/>
    <w:rsid w:val="00412A1B"/>
    <w:rsid w:val="00414E36"/>
    <w:rsid w:val="00417BA9"/>
    <w:rsid w:val="004243F8"/>
    <w:rsid w:val="004246EC"/>
    <w:rsid w:val="00426932"/>
    <w:rsid w:val="00426FD9"/>
    <w:rsid w:val="00430AA3"/>
    <w:rsid w:val="00430DB6"/>
    <w:rsid w:val="00435C93"/>
    <w:rsid w:val="00440A0A"/>
    <w:rsid w:val="0044626A"/>
    <w:rsid w:val="004462FB"/>
    <w:rsid w:val="004539FF"/>
    <w:rsid w:val="00454099"/>
    <w:rsid w:val="00455321"/>
    <w:rsid w:val="0046027E"/>
    <w:rsid w:val="00461563"/>
    <w:rsid w:val="00464E68"/>
    <w:rsid w:val="00466056"/>
    <w:rsid w:val="00472393"/>
    <w:rsid w:val="00473298"/>
    <w:rsid w:val="00473C19"/>
    <w:rsid w:val="00475DB4"/>
    <w:rsid w:val="00477FD9"/>
    <w:rsid w:val="00480238"/>
    <w:rsid w:val="00480591"/>
    <w:rsid w:val="0048174C"/>
    <w:rsid w:val="004941DF"/>
    <w:rsid w:val="004967ED"/>
    <w:rsid w:val="00497298"/>
    <w:rsid w:val="004A14D1"/>
    <w:rsid w:val="004A1DD1"/>
    <w:rsid w:val="004A216D"/>
    <w:rsid w:val="004A2F75"/>
    <w:rsid w:val="004A3310"/>
    <w:rsid w:val="004A3339"/>
    <w:rsid w:val="004A3A69"/>
    <w:rsid w:val="004A4EF1"/>
    <w:rsid w:val="004B0A97"/>
    <w:rsid w:val="004B2E93"/>
    <w:rsid w:val="004B3C19"/>
    <w:rsid w:val="004C5326"/>
    <w:rsid w:val="004C6F01"/>
    <w:rsid w:val="004C7FD7"/>
    <w:rsid w:val="004D5D53"/>
    <w:rsid w:val="004D6B25"/>
    <w:rsid w:val="004E1182"/>
    <w:rsid w:val="004E4D7F"/>
    <w:rsid w:val="004E6524"/>
    <w:rsid w:val="004E7C38"/>
    <w:rsid w:val="004F056A"/>
    <w:rsid w:val="004F443B"/>
    <w:rsid w:val="004F66CE"/>
    <w:rsid w:val="004F68B8"/>
    <w:rsid w:val="004F7B93"/>
    <w:rsid w:val="0050384D"/>
    <w:rsid w:val="00507D2C"/>
    <w:rsid w:val="005104E7"/>
    <w:rsid w:val="005161D2"/>
    <w:rsid w:val="005171C8"/>
    <w:rsid w:val="005172BC"/>
    <w:rsid w:val="005174F7"/>
    <w:rsid w:val="005176AD"/>
    <w:rsid w:val="0052035D"/>
    <w:rsid w:val="005205A7"/>
    <w:rsid w:val="00523D11"/>
    <w:rsid w:val="0052464E"/>
    <w:rsid w:val="00526880"/>
    <w:rsid w:val="00526ED6"/>
    <w:rsid w:val="005302FF"/>
    <w:rsid w:val="005308D1"/>
    <w:rsid w:val="00537BF5"/>
    <w:rsid w:val="0054013F"/>
    <w:rsid w:val="00543E12"/>
    <w:rsid w:val="00554042"/>
    <w:rsid w:val="0055448F"/>
    <w:rsid w:val="0056038A"/>
    <w:rsid w:val="00560D2B"/>
    <w:rsid w:val="00563931"/>
    <w:rsid w:val="00567583"/>
    <w:rsid w:val="00567D28"/>
    <w:rsid w:val="00570511"/>
    <w:rsid w:val="00573F4F"/>
    <w:rsid w:val="00575E65"/>
    <w:rsid w:val="00582849"/>
    <w:rsid w:val="00583DBC"/>
    <w:rsid w:val="00584026"/>
    <w:rsid w:val="00585896"/>
    <w:rsid w:val="00586509"/>
    <w:rsid w:val="005908ED"/>
    <w:rsid w:val="00591157"/>
    <w:rsid w:val="00591E78"/>
    <w:rsid w:val="00592FE6"/>
    <w:rsid w:val="005938D6"/>
    <w:rsid w:val="00594664"/>
    <w:rsid w:val="005A1A76"/>
    <w:rsid w:val="005B0930"/>
    <w:rsid w:val="005B0C83"/>
    <w:rsid w:val="005B3EB4"/>
    <w:rsid w:val="005C31C9"/>
    <w:rsid w:val="005C33DA"/>
    <w:rsid w:val="005C5B70"/>
    <w:rsid w:val="005C5F3C"/>
    <w:rsid w:val="005C74AE"/>
    <w:rsid w:val="005C7BA5"/>
    <w:rsid w:val="005D12E5"/>
    <w:rsid w:val="005D245F"/>
    <w:rsid w:val="005D3144"/>
    <w:rsid w:val="005E02D1"/>
    <w:rsid w:val="005E0F63"/>
    <w:rsid w:val="005E1DE3"/>
    <w:rsid w:val="005E5A38"/>
    <w:rsid w:val="005F0362"/>
    <w:rsid w:val="005F24BA"/>
    <w:rsid w:val="005F2524"/>
    <w:rsid w:val="005F413A"/>
    <w:rsid w:val="005F4711"/>
    <w:rsid w:val="005F6846"/>
    <w:rsid w:val="00600C0E"/>
    <w:rsid w:val="006048D7"/>
    <w:rsid w:val="00607DA3"/>
    <w:rsid w:val="00614AF7"/>
    <w:rsid w:val="00615FDD"/>
    <w:rsid w:val="00616190"/>
    <w:rsid w:val="00616645"/>
    <w:rsid w:val="00616CFD"/>
    <w:rsid w:val="0061743A"/>
    <w:rsid w:val="00622AD5"/>
    <w:rsid w:val="00630AA3"/>
    <w:rsid w:val="00631D60"/>
    <w:rsid w:val="0063227A"/>
    <w:rsid w:val="006327F6"/>
    <w:rsid w:val="006345DE"/>
    <w:rsid w:val="00636530"/>
    <w:rsid w:val="0064182E"/>
    <w:rsid w:val="006422D0"/>
    <w:rsid w:val="00645D65"/>
    <w:rsid w:val="006479AB"/>
    <w:rsid w:val="0066002F"/>
    <w:rsid w:val="006610B7"/>
    <w:rsid w:val="00663B3C"/>
    <w:rsid w:val="006659FD"/>
    <w:rsid w:val="00665E00"/>
    <w:rsid w:val="0066665A"/>
    <w:rsid w:val="00672553"/>
    <w:rsid w:val="00677D8B"/>
    <w:rsid w:val="00682D67"/>
    <w:rsid w:val="006849DE"/>
    <w:rsid w:val="00685B0F"/>
    <w:rsid w:val="00692BF3"/>
    <w:rsid w:val="006937B5"/>
    <w:rsid w:val="00693907"/>
    <w:rsid w:val="006A08BB"/>
    <w:rsid w:val="006A11CC"/>
    <w:rsid w:val="006A789F"/>
    <w:rsid w:val="006B44F7"/>
    <w:rsid w:val="006B499F"/>
    <w:rsid w:val="006B603C"/>
    <w:rsid w:val="006C194E"/>
    <w:rsid w:val="006C1D46"/>
    <w:rsid w:val="006C2B57"/>
    <w:rsid w:val="006C7A26"/>
    <w:rsid w:val="006E20B0"/>
    <w:rsid w:val="006E217C"/>
    <w:rsid w:val="006E59D6"/>
    <w:rsid w:val="006F0AB3"/>
    <w:rsid w:val="006F61A5"/>
    <w:rsid w:val="006F6B22"/>
    <w:rsid w:val="0070027A"/>
    <w:rsid w:val="00701589"/>
    <w:rsid w:val="0070289A"/>
    <w:rsid w:val="007061C7"/>
    <w:rsid w:val="00706792"/>
    <w:rsid w:val="0071128C"/>
    <w:rsid w:val="007131F6"/>
    <w:rsid w:val="00717D1A"/>
    <w:rsid w:val="00724060"/>
    <w:rsid w:val="00724AC3"/>
    <w:rsid w:val="00725ED2"/>
    <w:rsid w:val="0073430E"/>
    <w:rsid w:val="00734861"/>
    <w:rsid w:val="00734F8C"/>
    <w:rsid w:val="00737489"/>
    <w:rsid w:val="00740E9C"/>
    <w:rsid w:val="00741C80"/>
    <w:rsid w:val="007555D0"/>
    <w:rsid w:val="007558DC"/>
    <w:rsid w:val="007563E4"/>
    <w:rsid w:val="00760AEA"/>
    <w:rsid w:val="00763080"/>
    <w:rsid w:val="007676D8"/>
    <w:rsid w:val="0077716E"/>
    <w:rsid w:val="007813A5"/>
    <w:rsid w:val="00781D73"/>
    <w:rsid w:val="00786516"/>
    <w:rsid w:val="00787979"/>
    <w:rsid w:val="007913CF"/>
    <w:rsid w:val="00791DCC"/>
    <w:rsid w:val="007931E3"/>
    <w:rsid w:val="00793B4E"/>
    <w:rsid w:val="007956A1"/>
    <w:rsid w:val="007A095F"/>
    <w:rsid w:val="007A09F6"/>
    <w:rsid w:val="007B1A3D"/>
    <w:rsid w:val="007B277D"/>
    <w:rsid w:val="007B5DE7"/>
    <w:rsid w:val="007B645B"/>
    <w:rsid w:val="007B743B"/>
    <w:rsid w:val="007B76B6"/>
    <w:rsid w:val="007C11FD"/>
    <w:rsid w:val="007C1533"/>
    <w:rsid w:val="007C3EC7"/>
    <w:rsid w:val="007C517C"/>
    <w:rsid w:val="007C7993"/>
    <w:rsid w:val="007C79DD"/>
    <w:rsid w:val="007D2215"/>
    <w:rsid w:val="007D2617"/>
    <w:rsid w:val="007D2B91"/>
    <w:rsid w:val="007D6CDF"/>
    <w:rsid w:val="007E1A28"/>
    <w:rsid w:val="007E3EB3"/>
    <w:rsid w:val="007E700A"/>
    <w:rsid w:val="007E7DC9"/>
    <w:rsid w:val="007F5862"/>
    <w:rsid w:val="007F5C44"/>
    <w:rsid w:val="0080027A"/>
    <w:rsid w:val="008102C4"/>
    <w:rsid w:val="008137EA"/>
    <w:rsid w:val="00815056"/>
    <w:rsid w:val="008165C6"/>
    <w:rsid w:val="008215FD"/>
    <w:rsid w:val="00823F75"/>
    <w:rsid w:val="0082496B"/>
    <w:rsid w:val="00826F02"/>
    <w:rsid w:val="00827B6E"/>
    <w:rsid w:val="008331A7"/>
    <w:rsid w:val="0083530C"/>
    <w:rsid w:val="00835BDF"/>
    <w:rsid w:val="00836F20"/>
    <w:rsid w:val="00837196"/>
    <w:rsid w:val="00837852"/>
    <w:rsid w:val="0084034F"/>
    <w:rsid w:val="00841D0F"/>
    <w:rsid w:val="0084306C"/>
    <w:rsid w:val="00844BE5"/>
    <w:rsid w:val="008469AC"/>
    <w:rsid w:val="0085455E"/>
    <w:rsid w:val="00861759"/>
    <w:rsid w:val="00861E92"/>
    <w:rsid w:val="00863692"/>
    <w:rsid w:val="008674BA"/>
    <w:rsid w:val="0087018D"/>
    <w:rsid w:val="00870771"/>
    <w:rsid w:val="00870BC2"/>
    <w:rsid w:val="00870FE4"/>
    <w:rsid w:val="008716A7"/>
    <w:rsid w:val="00871D88"/>
    <w:rsid w:val="00884C20"/>
    <w:rsid w:val="008853A7"/>
    <w:rsid w:val="0088581C"/>
    <w:rsid w:val="0089011B"/>
    <w:rsid w:val="0089149D"/>
    <w:rsid w:val="00891C12"/>
    <w:rsid w:val="00893234"/>
    <w:rsid w:val="0089449E"/>
    <w:rsid w:val="00896216"/>
    <w:rsid w:val="008962FE"/>
    <w:rsid w:val="008967AC"/>
    <w:rsid w:val="008A306B"/>
    <w:rsid w:val="008A4842"/>
    <w:rsid w:val="008A497D"/>
    <w:rsid w:val="008B1436"/>
    <w:rsid w:val="008B3FF0"/>
    <w:rsid w:val="008B4324"/>
    <w:rsid w:val="008B48A0"/>
    <w:rsid w:val="008C0EDE"/>
    <w:rsid w:val="008C3CB2"/>
    <w:rsid w:val="008C49F6"/>
    <w:rsid w:val="008C6579"/>
    <w:rsid w:val="008C77E9"/>
    <w:rsid w:val="008D0421"/>
    <w:rsid w:val="008D2CC6"/>
    <w:rsid w:val="008D46F5"/>
    <w:rsid w:val="008D5998"/>
    <w:rsid w:val="008D64FD"/>
    <w:rsid w:val="008D77EC"/>
    <w:rsid w:val="008E0033"/>
    <w:rsid w:val="008E3CBA"/>
    <w:rsid w:val="008E528A"/>
    <w:rsid w:val="008E7E05"/>
    <w:rsid w:val="008F1521"/>
    <w:rsid w:val="008F3157"/>
    <w:rsid w:val="009008DA"/>
    <w:rsid w:val="00901A89"/>
    <w:rsid w:val="00902718"/>
    <w:rsid w:val="0090496D"/>
    <w:rsid w:val="00905457"/>
    <w:rsid w:val="00906FED"/>
    <w:rsid w:val="00913694"/>
    <w:rsid w:val="0092166B"/>
    <w:rsid w:val="00926503"/>
    <w:rsid w:val="009267DC"/>
    <w:rsid w:val="009406AA"/>
    <w:rsid w:val="00941221"/>
    <w:rsid w:val="00947D7F"/>
    <w:rsid w:val="00952E94"/>
    <w:rsid w:val="00957721"/>
    <w:rsid w:val="00957B2F"/>
    <w:rsid w:val="00957E3D"/>
    <w:rsid w:val="00960099"/>
    <w:rsid w:val="009607D6"/>
    <w:rsid w:val="0096152F"/>
    <w:rsid w:val="009620A9"/>
    <w:rsid w:val="00962EB3"/>
    <w:rsid w:val="009638E5"/>
    <w:rsid w:val="00964E7C"/>
    <w:rsid w:val="00967843"/>
    <w:rsid w:val="0097101C"/>
    <w:rsid w:val="00973BF7"/>
    <w:rsid w:val="00981016"/>
    <w:rsid w:val="00984CC2"/>
    <w:rsid w:val="0098526C"/>
    <w:rsid w:val="00993230"/>
    <w:rsid w:val="00993971"/>
    <w:rsid w:val="009978CC"/>
    <w:rsid w:val="00997C85"/>
    <w:rsid w:val="009A2804"/>
    <w:rsid w:val="009A507B"/>
    <w:rsid w:val="009B4293"/>
    <w:rsid w:val="009B620B"/>
    <w:rsid w:val="009B7DD2"/>
    <w:rsid w:val="009C014E"/>
    <w:rsid w:val="009C1CC6"/>
    <w:rsid w:val="009C7826"/>
    <w:rsid w:val="009C7B9D"/>
    <w:rsid w:val="009D59E0"/>
    <w:rsid w:val="009D7EF7"/>
    <w:rsid w:val="009D7FC9"/>
    <w:rsid w:val="009E21A9"/>
    <w:rsid w:val="009E3873"/>
    <w:rsid w:val="009E49E6"/>
    <w:rsid w:val="009E52A6"/>
    <w:rsid w:val="009F19A8"/>
    <w:rsid w:val="009F1CA9"/>
    <w:rsid w:val="009F2FFF"/>
    <w:rsid w:val="00A01759"/>
    <w:rsid w:val="00A04C8E"/>
    <w:rsid w:val="00A06AED"/>
    <w:rsid w:val="00A06D08"/>
    <w:rsid w:val="00A070B0"/>
    <w:rsid w:val="00A07A3D"/>
    <w:rsid w:val="00A141F8"/>
    <w:rsid w:val="00A15D84"/>
    <w:rsid w:val="00A20E0B"/>
    <w:rsid w:val="00A21A52"/>
    <w:rsid w:val="00A233C5"/>
    <w:rsid w:val="00A24A78"/>
    <w:rsid w:val="00A27CC9"/>
    <w:rsid w:val="00A305E3"/>
    <w:rsid w:val="00A30DF8"/>
    <w:rsid w:val="00A34135"/>
    <w:rsid w:val="00A34BA7"/>
    <w:rsid w:val="00A35716"/>
    <w:rsid w:val="00A35D95"/>
    <w:rsid w:val="00A35F17"/>
    <w:rsid w:val="00A36542"/>
    <w:rsid w:val="00A41825"/>
    <w:rsid w:val="00A43170"/>
    <w:rsid w:val="00A44A88"/>
    <w:rsid w:val="00A456A2"/>
    <w:rsid w:val="00A51930"/>
    <w:rsid w:val="00A55F68"/>
    <w:rsid w:val="00A5600B"/>
    <w:rsid w:val="00A575BC"/>
    <w:rsid w:val="00A64D7B"/>
    <w:rsid w:val="00A6611F"/>
    <w:rsid w:val="00A8077D"/>
    <w:rsid w:val="00A85490"/>
    <w:rsid w:val="00A85830"/>
    <w:rsid w:val="00A85F13"/>
    <w:rsid w:val="00A87928"/>
    <w:rsid w:val="00AA002F"/>
    <w:rsid w:val="00AA730D"/>
    <w:rsid w:val="00AA786E"/>
    <w:rsid w:val="00AB20F5"/>
    <w:rsid w:val="00AB272A"/>
    <w:rsid w:val="00AB3C7D"/>
    <w:rsid w:val="00AB7931"/>
    <w:rsid w:val="00AC217F"/>
    <w:rsid w:val="00AC56DE"/>
    <w:rsid w:val="00AC7408"/>
    <w:rsid w:val="00AD1964"/>
    <w:rsid w:val="00AD3301"/>
    <w:rsid w:val="00AD356C"/>
    <w:rsid w:val="00AE289D"/>
    <w:rsid w:val="00AE6784"/>
    <w:rsid w:val="00AF0574"/>
    <w:rsid w:val="00AF06B5"/>
    <w:rsid w:val="00AF312E"/>
    <w:rsid w:val="00AF5AB4"/>
    <w:rsid w:val="00B0022C"/>
    <w:rsid w:val="00B00E45"/>
    <w:rsid w:val="00B00EB2"/>
    <w:rsid w:val="00B0155C"/>
    <w:rsid w:val="00B01A17"/>
    <w:rsid w:val="00B02184"/>
    <w:rsid w:val="00B0442A"/>
    <w:rsid w:val="00B048F9"/>
    <w:rsid w:val="00B140FA"/>
    <w:rsid w:val="00B15BA0"/>
    <w:rsid w:val="00B174F8"/>
    <w:rsid w:val="00B23938"/>
    <w:rsid w:val="00B26D31"/>
    <w:rsid w:val="00B313EB"/>
    <w:rsid w:val="00B31F72"/>
    <w:rsid w:val="00B32C2C"/>
    <w:rsid w:val="00B34ECE"/>
    <w:rsid w:val="00B357AC"/>
    <w:rsid w:val="00B35E15"/>
    <w:rsid w:val="00B36AD3"/>
    <w:rsid w:val="00B37B8C"/>
    <w:rsid w:val="00B400C8"/>
    <w:rsid w:val="00B40F5F"/>
    <w:rsid w:val="00B41500"/>
    <w:rsid w:val="00B54A3D"/>
    <w:rsid w:val="00B54AFC"/>
    <w:rsid w:val="00B56AA0"/>
    <w:rsid w:val="00B572BA"/>
    <w:rsid w:val="00B60BAE"/>
    <w:rsid w:val="00B62532"/>
    <w:rsid w:val="00B70F97"/>
    <w:rsid w:val="00B77C14"/>
    <w:rsid w:val="00B80F72"/>
    <w:rsid w:val="00B814DD"/>
    <w:rsid w:val="00B81AC1"/>
    <w:rsid w:val="00B87C6D"/>
    <w:rsid w:val="00B9179B"/>
    <w:rsid w:val="00B96BD8"/>
    <w:rsid w:val="00BA3B16"/>
    <w:rsid w:val="00BA5A2C"/>
    <w:rsid w:val="00BA5C4C"/>
    <w:rsid w:val="00BB02DA"/>
    <w:rsid w:val="00BB4C77"/>
    <w:rsid w:val="00BB79A8"/>
    <w:rsid w:val="00BC1FBC"/>
    <w:rsid w:val="00BC3313"/>
    <w:rsid w:val="00BD01B5"/>
    <w:rsid w:val="00BD11EB"/>
    <w:rsid w:val="00BD41BA"/>
    <w:rsid w:val="00BD45A5"/>
    <w:rsid w:val="00BD676F"/>
    <w:rsid w:val="00BE201D"/>
    <w:rsid w:val="00BE219D"/>
    <w:rsid w:val="00BE265D"/>
    <w:rsid w:val="00BE45FF"/>
    <w:rsid w:val="00BE4C7F"/>
    <w:rsid w:val="00BE502E"/>
    <w:rsid w:val="00BE6FB7"/>
    <w:rsid w:val="00BF14FF"/>
    <w:rsid w:val="00BF1987"/>
    <w:rsid w:val="00BF4CB6"/>
    <w:rsid w:val="00C00CB5"/>
    <w:rsid w:val="00C04D2D"/>
    <w:rsid w:val="00C04E55"/>
    <w:rsid w:val="00C07B4A"/>
    <w:rsid w:val="00C10B40"/>
    <w:rsid w:val="00C11147"/>
    <w:rsid w:val="00C1142B"/>
    <w:rsid w:val="00C13926"/>
    <w:rsid w:val="00C1575F"/>
    <w:rsid w:val="00C20CA6"/>
    <w:rsid w:val="00C251D9"/>
    <w:rsid w:val="00C27713"/>
    <w:rsid w:val="00C30F41"/>
    <w:rsid w:val="00C31D90"/>
    <w:rsid w:val="00C345A7"/>
    <w:rsid w:val="00C432EA"/>
    <w:rsid w:val="00C469EF"/>
    <w:rsid w:val="00C50F3C"/>
    <w:rsid w:val="00C5136B"/>
    <w:rsid w:val="00C52131"/>
    <w:rsid w:val="00C5327D"/>
    <w:rsid w:val="00C54216"/>
    <w:rsid w:val="00C61060"/>
    <w:rsid w:val="00C631AA"/>
    <w:rsid w:val="00C63A70"/>
    <w:rsid w:val="00C6690F"/>
    <w:rsid w:val="00C71317"/>
    <w:rsid w:val="00C720AD"/>
    <w:rsid w:val="00C73F42"/>
    <w:rsid w:val="00C778C6"/>
    <w:rsid w:val="00C81F0F"/>
    <w:rsid w:val="00C84E32"/>
    <w:rsid w:val="00C858EB"/>
    <w:rsid w:val="00C87B60"/>
    <w:rsid w:val="00C930E9"/>
    <w:rsid w:val="00C93C10"/>
    <w:rsid w:val="00C959C5"/>
    <w:rsid w:val="00C97D65"/>
    <w:rsid w:val="00CA5080"/>
    <w:rsid w:val="00CB092C"/>
    <w:rsid w:val="00CB09D5"/>
    <w:rsid w:val="00CB7BE4"/>
    <w:rsid w:val="00CC09CB"/>
    <w:rsid w:val="00CC0C92"/>
    <w:rsid w:val="00CC0D98"/>
    <w:rsid w:val="00CC2A41"/>
    <w:rsid w:val="00CC3E43"/>
    <w:rsid w:val="00CD23C3"/>
    <w:rsid w:val="00CD2D5C"/>
    <w:rsid w:val="00CE2FE2"/>
    <w:rsid w:val="00CE4587"/>
    <w:rsid w:val="00CF32E5"/>
    <w:rsid w:val="00CF4D6D"/>
    <w:rsid w:val="00CF5AF2"/>
    <w:rsid w:val="00D01250"/>
    <w:rsid w:val="00D022E6"/>
    <w:rsid w:val="00D03CA6"/>
    <w:rsid w:val="00D0734A"/>
    <w:rsid w:val="00D105FA"/>
    <w:rsid w:val="00D11761"/>
    <w:rsid w:val="00D15199"/>
    <w:rsid w:val="00D16FCE"/>
    <w:rsid w:val="00D205BD"/>
    <w:rsid w:val="00D2324F"/>
    <w:rsid w:val="00D240E1"/>
    <w:rsid w:val="00D255D1"/>
    <w:rsid w:val="00D26998"/>
    <w:rsid w:val="00D26F5D"/>
    <w:rsid w:val="00D271DD"/>
    <w:rsid w:val="00D31FEC"/>
    <w:rsid w:val="00D32F1F"/>
    <w:rsid w:val="00D33A0A"/>
    <w:rsid w:val="00D34002"/>
    <w:rsid w:val="00D4109E"/>
    <w:rsid w:val="00D41475"/>
    <w:rsid w:val="00D41BA1"/>
    <w:rsid w:val="00D44E9F"/>
    <w:rsid w:val="00D44EC4"/>
    <w:rsid w:val="00D46021"/>
    <w:rsid w:val="00D51615"/>
    <w:rsid w:val="00D52FA7"/>
    <w:rsid w:val="00D55122"/>
    <w:rsid w:val="00D5558D"/>
    <w:rsid w:val="00D56F05"/>
    <w:rsid w:val="00D60D1C"/>
    <w:rsid w:val="00D70447"/>
    <w:rsid w:val="00D721A2"/>
    <w:rsid w:val="00D721B9"/>
    <w:rsid w:val="00D72566"/>
    <w:rsid w:val="00D729B1"/>
    <w:rsid w:val="00D736A9"/>
    <w:rsid w:val="00D7709C"/>
    <w:rsid w:val="00D81D77"/>
    <w:rsid w:val="00D8435A"/>
    <w:rsid w:val="00D87013"/>
    <w:rsid w:val="00D90103"/>
    <w:rsid w:val="00D90431"/>
    <w:rsid w:val="00D904E3"/>
    <w:rsid w:val="00D94179"/>
    <w:rsid w:val="00D943A9"/>
    <w:rsid w:val="00D96D2A"/>
    <w:rsid w:val="00DA2FCE"/>
    <w:rsid w:val="00DA4A31"/>
    <w:rsid w:val="00DA7D96"/>
    <w:rsid w:val="00DB25A2"/>
    <w:rsid w:val="00DB44F1"/>
    <w:rsid w:val="00DB7BB7"/>
    <w:rsid w:val="00DC0084"/>
    <w:rsid w:val="00DC31DF"/>
    <w:rsid w:val="00DC354F"/>
    <w:rsid w:val="00DC5076"/>
    <w:rsid w:val="00DC51BF"/>
    <w:rsid w:val="00DD0D26"/>
    <w:rsid w:val="00DD3ABE"/>
    <w:rsid w:val="00DD3B7C"/>
    <w:rsid w:val="00DE0364"/>
    <w:rsid w:val="00DE7A9E"/>
    <w:rsid w:val="00DF2014"/>
    <w:rsid w:val="00DF5443"/>
    <w:rsid w:val="00DF5F6F"/>
    <w:rsid w:val="00E012C5"/>
    <w:rsid w:val="00E03F78"/>
    <w:rsid w:val="00E074E1"/>
    <w:rsid w:val="00E07E45"/>
    <w:rsid w:val="00E15446"/>
    <w:rsid w:val="00E20316"/>
    <w:rsid w:val="00E203A6"/>
    <w:rsid w:val="00E213FB"/>
    <w:rsid w:val="00E24E88"/>
    <w:rsid w:val="00E269D8"/>
    <w:rsid w:val="00E30259"/>
    <w:rsid w:val="00E31575"/>
    <w:rsid w:val="00E33C95"/>
    <w:rsid w:val="00E34116"/>
    <w:rsid w:val="00E342DA"/>
    <w:rsid w:val="00E3471E"/>
    <w:rsid w:val="00E4089F"/>
    <w:rsid w:val="00E42280"/>
    <w:rsid w:val="00E42BA0"/>
    <w:rsid w:val="00E430C5"/>
    <w:rsid w:val="00E43122"/>
    <w:rsid w:val="00E4427D"/>
    <w:rsid w:val="00E445B3"/>
    <w:rsid w:val="00E4634C"/>
    <w:rsid w:val="00E46360"/>
    <w:rsid w:val="00E51526"/>
    <w:rsid w:val="00E56CA6"/>
    <w:rsid w:val="00E57184"/>
    <w:rsid w:val="00E57FB5"/>
    <w:rsid w:val="00E64F11"/>
    <w:rsid w:val="00E652E9"/>
    <w:rsid w:val="00E716CC"/>
    <w:rsid w:val="00E72542"/>
    <w:rsid w:val="00E8625A"/>
    <w:rsid w:val="00E86E6C"/>
    <w:rsid w:val="00E93902"/>
    <w:rsid w:val="00E93AE6"/>
    <w:rsid w:val="00EA2C1D"/>
    <w:rsid w:val="00EA2C62"/>
    <w:rsid w:val="00EB03B4"/>
    <w:rsid w:val="00EB18F5"/>
    <w:rsid w:val="00EB2304"/>
    <w:rsid w:val="00EB76DC"/>
    <w:rsid w:val="00EC0C49"/>
    <w:rsid w:val="00EC3116"/>
    <w:rsid w:val="00EC337B"/>
    <w:rsid w:val="00EC3808"/>
    <w:rsid w:val="00EC44BD"/>
    <w:rsid w:val="00EC62ED"/>
    <w:rsid w:val="00EC644B"/>
    <w:rsid w:val="00ED1AF8"/>
    <w:rsid w:val="00ED3CC7"/>
    <w:rsid w:val="00ED3E18"/>
    <w:rsid w:val="00ED4179"/>
    <w:rsid w:val="00ED4283"/>
    <w:rsid w:val="00EE0F51"/>
    <w:rsid w:val="00EE1682"/>
    <w:rsid w:val="00EE2152"/>
    <w:rsid w:val="00EE2317"/>
    <w:rsid w:val="00EE2761"/>
    <w:rsid w:val="00EE6191"/>
    <w:rsid w:val="00EF0A7E"/>
    <w:rsid w:val="00EF21AE"/>
    <w:rsid w:val="00EF24D1"/>
    <w:rsid w:val="00EF752D"/>
    <w:rsid w:val="00F01AC6"/>
    <w:rsid w:val="00F04CE9"/>
    <w:rsid w:val="00F058E4"/>
    <w:rsid w:val="00F06B59"/>
    <w:rsid w:val="00F10B19"/>
    <w:rsid w:val="00F11676"/>
    <w:rsid w:val="00F14FD2"/>
    <w:rsid w:val="00F15948"/>
    <w:rsid w:val="00F17A93"/>
    <w:rsid w:val="00F23ADB"/>
    <w:rsid w:val="00F26AA0"/>
    <w:rsid w:val="00F30698"/>
    <w:rsid w:val="00F32D57"/>
    <w:rsid w:val="00F40025"/>
    <w:rsid w:val="00F412BF"/>
    <w:rsid w:val="00F4237B"/>
    <w:rsid w:val="00F45AD5"/>
    <w:rsid w:val="00F46493"/>
    <w:rsid w:val="00F46B7A"/>
    <w:rsid w:val="00F47144"/>
    <w:rsid w:val="00F50F90"/>
    <w:rsid w:val="00F568E3"/>
    <w:rsid w:val="00F57EDF"/>
    <w:rsid w:val="00F6032F"/>
    <w:rsid w:val="00F62C46"/>
    <w:rsid w:val="00F62D69"/>
    <w:rsid w:val="00F63A15"/>
    <w:rsid w:val="00F63C15"/>
    <w:rsid w:val="00F63F86"/>
    <w:rsid w:val="00F66096"/>
    <w:rsid w:val="00F67AC7"/>
    <w:rsid w:val="00F74074"/>
    <w:rsid w:val="00F74E24"/>
    <w:rsid w:val="00F74F64"/>
    <w:rsid w:val="00F8131C"/>
    <w:rsid w:val="00F81808"/>
    <w:rsid w:val="00F84913"/>
    <w:rsid w:val="00F85091"/>
    <w:rsid w:val="00F876E9"/>
    <w:rsid w:val="00F92984"/>
    <w:rsid w:val="00F93E48"/>
    <w:rsid w:val="00F9423B"/>
    <w:rsid w:val="00F950FC"/>
    <w:rsid w:val="00FA5AFE"/>
    <w:rsid w:val="00FA6FB8"/>
    <w:rsid w:val="00FA73EC"/>
    <w:rsid w:val="00FB00B1"/>
    <w:rsid w:val="00FB037B"/>
    <w:rsid w:val="00FB0886"/>
    <w:rsid w:val="00FB29D1"/>
    <w:rsid w:val="00FB4A52"/>
    <w:rsid w:val="00FC05AA"/>
    <w:rsid w:val="00FC0AC6"/>
    <w:rsid w:val="00FC31EB"/>
    <w:rsid w:val="00FD4E84"/>
    <w:rsid w:val="00FE1B24"/>
    <w:rsid w:val="00FE29E8"/>
    <w:rsid w:val="00FE2DC3"/>
    <w:rsid w:val="00FE3561"/>
    <w:rsid w:val="00FE490E"/>
    <w:rsid w:val="00FE5B90"/>
    <w:rsid w:val="00FE785A"/>
    <w:rsid w:val="00FF0F31"/>
    <w:rsid w:val="00FF0F40"/>
    <w:rsid w:val="00FF2080"/>
    <w:rsid w:val="00FF3531"/>
    <w:rsid w:val="00FF4553"/>
    <w:rsid w:val="00FF66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14:docId w14:val="49E072BF"/>
  <w15:chartTrackingRefBased/>
  <w15:docId w15:val="{B6BDA801-28CB-409A-9D1B-7A1EAFC8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E47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47CA"/>
    <w:rPr>
      <w:rFonts w:ascii="Segoe UI" w:hAnsi="Segoe UI" w:cs="Segoe UI"/>
      <w:sz w:val="18"/>
      <w:szCs w:val="18"/>
    </w:rPr>
  </w:style>
  <w:style w:type="table" w:styleId="Tablaconcuadrcula">
    <w:name w:val="Table Grid"/>
    <w:basedOn w:val="Tablanormal"/>
    <w:rsid w:val="00354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4D8E"/>
    <w:pPr>
      <w:ind w:left="720"/>
      <w:contextualSpacing/>
    </w:pPr>
  </w:style>
  <w:style w:type="paragraph" w:styleId="Piedepgina">
    <w:name w:val="footer"/>
    <w:basedOn w:val="Normal"/>
    <w:link w:val="PiedepginaCar"/>
    <w:uiPriority w:val="99"/>
    <w:unhideWhenUsed/>
    <w:rsid w:val="00354D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4D8E"/>
  </w:style>
  <w:style w:type="character" w:styleId="Refdenotaalpie">
    <w:name w:val="footnote reference"/>
    <w:basedOn w:val="Fuentedeprrafopredeter"/>
    <w:uiPriority w:val="99"/>
    <w:semiHidden/>
    <w:unhideWhenUsed/>
    <w:rsid w:val="00354D8E"/>
    <w:rPr>
      <w:vertAlign w:val="superscript"/>
    </w:rPr>
  </w:style>
  <w:style w:type="character" w:styleId="Hipervnculo">
    <w:name w:val="Hyperlink"/>
    <w:basedOn w:val="Fuentedeprrafopredeter"/>
    <w:uiPriority w:val="99"/>
    <w:unhideWhenUsed/>
    <w:rsid w:val="00354D8E"/>
    <w:rPr>
      <w:color w:val="0563C1"/>
      <w:u w:val="single"/>
    </w:rPr>
  </w:style>
  <w:style w:type="character" w:styleId="Textoennegrita">
    <w:name w:val="Strong"/>
    <w:basedOn w:val="Fuentedeprrafopredeter"/>
    <w:uiPriority w:val="22"/>
    <w:qFormat/>
    <w:rsid w:val="00354D8E"/>
    <w:rPr>
      <w:b/>
      <w:bCs/>
    </w:rPr>
  </w:style>
  <w:style w:type="paragraph" w:styleId="Encabezado">
    <w:name w:val="header"/>
    <w:basedOn w:val="Normal"/>
    <w:link w:val="EncabezadoCar"/>
    <w:uiPriority w:val="99"/>
    <w:unhideWhenUsed/>
    <w:rsid w:val="00354D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4D8E"/>
  </w:style>
  <w:style w:type="paragraph" w:styleId="Textonotapie">
    <w:name w:val="footnote text"/>
    <w:aliases w:val="Footnote Text Char,Footnote Text Char1,Footnote Text Char2,Footnote Text Char11,Footnote Text Char3,Footnote Text Char4,Footnote Text Char5,Footnote Text Char6,Footnote Text Char12,Footnote Text Char21,Footnote Text Char31,Footnote New, C"/>
    <w:basedOn w:val="Normal"/>
    <w:link w:val="TextonotapieCar"/>
    <w:uiPriority w:val="99"/>
    <w:unhideWhenUsed/>
    <w:rsid w:val="00837852"/>
    <w:pPr>
      <w:spacing w:after="0" w:line="240" w:lineRule="auto"/>
    </w:pPr>
    <w:rPr>
      <w:sz w:val="20"/>
      <w:szCs w:val="20"/>
    </w:rPr>
  </w:style>
  <w:style w:type="character" w:customStyle="1" w:styleId="TextonotapieCar">
    <w:name w:val="Texto nota pie Car"/>
    <w:aliases w:val="Footnote Text Char Car,Footnote Text Char1 Car,Footnote Text Char2 Car,Footnote Text Char11 Car,Footnote Text Char3 Car,Footnote Text Char4 Car,Footnote Text Char5 Car,Footnote Text Char6 Car,Footnote Text Char12 Car,Footnote New Car"/>
    <w:basedOn w:val="Fuentedeprrafopredeter"/>
    <w:link w:val="Textonotapie"/>
    <w:uiPriority w:val="99"/>
    <w:rsid w:val="00837852"/>
    <w:rPr>
      <w:sz w:val="20"/>
      <w:szCs w:val="20"/>
    </w:rPr>
  </w:style>
  <w:style w:type="paragraph" w:styleId="Textoindependiente3">
    <w:name w:val="Body Text 3"/>
    <w:basedOn w:val="Normal"/>
    <w:link w:val="Textoindependiente3Car"/>
    <w:uiPriority w:val="99"/>
    <w:semiHidden/>
    <w:unhideWhenUsed/>
    <w:rsid w:val="00116B7A"/>
    <w:pPr>
      <w:widowControl w:val="0"/>
      <w:autoSpaceDE w:val="0"/>
      <w:autoSpaceDN w:val="0"/>
      <w:adjustRightInd w:val="0"/>
      <w:spacing w:after="120" w:line="240" w:lineRule="auto"/>
    </w:pPr>
    <w:rPr>
      <w:rFonts w:ascii="Times New Roman" w:eastAsiaTheme="minorEastAsia" w:hAnsi="Times New Roman" w:cs="Times New Roman"/>
      <w:sz w:val="16"/>
      <w:szCs w:val="16"/>
      <w:lang w:val="en-US" w:eastAsia="es-ES"/>
    </w:rPr>
  </w:style>
  <w:style w:type="character" w:customStyle="1" w:styleId="Textoindependiente3Car">
    <w:name w:val="Texto independiente 3 Car"/>
    <w:basedOn w:val="Fuentedeprrafopredeter"/>
    <w:link w:val="Textoindependiente3"/>
    <w:uiPriority w:val="99"/>
    <w:semiHidden/>
    <w:rsid w:val="00116B7A"/>
    <w:rPr>
      <w:rFonts w:ascii="Times New Roman" w:eastAsiaTheme="minorEastAsia" w:hAnsi="Times New Roman" w:cs="Times New Roman"/>
      <w:sz w:val="16"/>
      <w:szCs w:val="16"/>
      <w:lang w:val="en-US" w:eastAsia="es-ES"/>
    </w:rPr>
  </w:style>
  <w:style w:type="character" w:styleId="Hipervnculovisitado">
    <w:name w:val="FollowedHyperlink"/>
    <w:basedOn w:val="Fuentedeprrafopredeter"/>
    <w:uiPriority w:val="99"/>
    <w:semiHidden/>
    <w:unhideWhenUsed/>
    <w:rsid w:val="00253472"/>
    <w:rPr>
      <w:color w:val="954F72" w:themeColor="followedHyperlink"/>
      <w:u w:val="single"/>
    </w:rPr>
  </w:style>
  <w:style w:type="character" w:customStyle="1" w:styleId="A0">
    <w:name w:val="A0"/>
    <w:uiPriority w:val="99"/>
    <w:rsid w:val="00F93E48"/>
    <w:rPr>
      <w:rFonts w:cs="Source Sans Pro"/>
      <w:color w:val="000000"/>
      <w:sz w:val="22"/>
      <w:szCs w:val="22"/>
    </w:rPr>
  </w:style>
  <w:style w:type="character" w:customStyle="1" w:styleId="Mencinsinresolver1">
    <w:name w:val="Mención sin resolver1"/>
    <w:basedOn w:val="Fuentedeprrafopredeter"/>
    <w:uiPriority w:val="99"/>
    <w:semiHidden/>
    <w:unhideWhenUsed/>
    <w:rsid w:val="00A41825"/>
    <w:rPr>
      <w:color w:val="808080"/>
      <w:shd w:val="clear" w:color="auto" w:fill="E6E6E6"/>
    </w:rPr>
  </w:style>
  <w:style w:type="paragraph" w:customStyle="1" w:styleId="Default">
    <w:name w:val="Default"/>
    <w:rsid w:val="00600C0E"/>
    <w:pPr>
      <w:autoSpaceDE w:val="0"/>
      <w:autoSpaceDN w:val="0"/>
      <w:adjustRightInd w:val="0"/>
      <w:spacing w:after="0" w:line="240" w:lineRule="auto"/>
    </w:pPr>
    <w:rPr>
      <w:rFonts w:ascii="Cambria" w:hAnsi="Cambria" w:cs="Cambria"/>
      <w:color w:val="000000"/>
      <w:sz w:val="24"/>
      <w:szCs w:val="24"/>
    </w:rPr>
  </w:style>
  <w:style w:type="paragraph" w:styleId="Revisin">
    <w:name w:val="Revision"/>
    <w:hidden/>
    <w:uiPriority w:val="99"/>
    <w:semiHidden/>
    <w:rsid w:val="00E57184"/>
    <w:pPr>
      <w:spacing w:after="0" w:line="240" w:lineRule="auto"/>
    </w:pPr>
  </w:style>
  <w:style w:type="character" w:styleId="Refdecomentario">
    <w:name w:val="annotation reference"/>
    <w:basedOn w:val="Fuentedeprrafopredeter"/>
    <w:uiPriority w:val="99"/>
    <w:semiHidden/>
    <w:unhideWhenUsed/>
    <w:rsid w:val="0002389D"/>
    <w:rPr>
      <w:sz w:val="16"/>
      <w:szCs w:val="16"/>
    </w:rPr>
  </w:style>
  <w:style w:type="paragraph" w:styleId="Textocomentario">
    <w:name w:val="annotation text"/>
    <w:basedOn w:val="Normal"/>
    <w:link w:val="TextocomentarioCar"/>
    <w:uiPriority w:val="99"/>
    <w:unhideWhenUsed/>
    <w:rsid w:val="0002389D"/>
    <w:pPr>
      <w:spacing w:line="240" w:lineRule="auto"/>
    </w:pPr>
    <w:rPr>
      <w:sz w:val="20"/>
      <w:szCs w:val="20"/>
    </w:rPr>
  </w:style>
  <w:style w:type="character" w:customStyle="1" w:styleId="TextocomentarioCar">
    <w:name w:val="Texto comentario Car"/>
    <w:basedOn w:val="Fuentedeprrafopredeter"/>
    <w:link w:val="Textocomentario"/>
    <w:uiPriority w:val="99"/>
    <w:rsid w:val="0002389D"/>
    <w:rPr>
      <w:sz w:val="20"/>
      <w:szCs w:val="20"/>
    </w:rPr>
  </w:style>
  <w:style w:type="paragraph" w:styleId="Asuntodelcomentario">
    <w:name w:val="annotation subject"/>
    <w:basedOn w:val="Textocomentario"/>
    <w:next w:val="Textocomentario"/>
    <w:link w:val="AsuntodelcomentarioCar"/>
    <w:uiPriority w:val="99"/>
    <w:semiHidden/>
    <w:unhideWhenUsed/>
    <w:rsid w:val="0002389D"/>
    <w:rPr>
      <w:b/>
      <w:bCs/>
    </w:rPr>
  </w:style>
  <w:style w:type="character" w:customStyle="1" w:styleId="AsuntodelcomentarioCar">
    <w:name w:val="Asunto del comentario Car"/>
    <w:basedOn w:val="TextocomentarioCar"/>
    <w:link w:val="Asuntodelcomentario"/>
    <w:uiPriority w:val="99"/>
    <w:semiHidden/>
    <w:rsid w:val="0002389D"/>
    <w:rPr>
      <w:b/>
      <w:bCs/>
      <w:sz w:val="20"/>
      <w:szCs w:val="20"/>
    </w:rPr>
  </w:style>
  <w:style w:type="character" w:customStyle="1" w:styleId="Mencinsinresolver2">
    <w:name w:val="Mención sin resolver2"/>
    <w:basedOn w:val="Fuentedeprrafopredeter"/>
    <w:uiPriority w:val="99"/>
    <w:semiHidden/>
    <w:unhideWhenUsed/>
    <w:rsid w:val="00D7709C"/>
    <w:rPr>
      <w:color w:val="605E5C"/>
      <w:shd w:val="clear" w:color="auto" w:fill="E1DFDD"/>
    </w:rPr>
  </w:style>
  <w:style w:type="character" w:customStyle="1" w:styleId="Mencinsinresolver3">
    <w:name w:val="Mención sin resolver3"/>
    <w:basedOn w:val="Fuentedeprrafopredeter"/>
    <w:uiPriority w:val="99"/>
    <w:semiHidden/>
    <w:unhideWhenUsed/>
    <w:rsid w:val="006849DE"/>
    <w:rPr>
      <w:color w:val="605E5C"/>
      <w:shd w:val="clear" w:color="auto" w:fill="E1DFDD"/>
    </w:rPr>
  </w:style>
  <w:style w:type="character" w:customStyle="1" w:styleId="Mencinsinresolver4">
    <w:name w:val="Mención sin resolver4"/>
    <w:basedOn w:val="Fuentedeprrafopredeter"/>
    <w:uiPriority w:val="99"/>
    <w:semiHidden/>
    <w:unhideWhenUsed/>
    <w:rsid w:val="009620A9"/>
    <w:rPr>
      <w:color w:val="605E5C"/>
      <w:shd w:val="clear" w:color="auto" w:fill="E1DFDD"/>
    </w:rPr>
  </w:style>
  <w:style w:type="paragraph" w:styleId="HTMLconformatoprevio">
    <w:name w:val="HTML Preformatted"/>
    <w:basedOn w:val="Normal"/>
    <w:link w:val="HTMLconformatoprevioCar"/>
    <w:uiPriority w:val="99"/>
    <w:semiHidden/>
    <w:unhideWhenUsed/>
    <w:rsid w:val="009C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9C014E"/>
    <w:rPr>
      <w:rFonts w:ascii="Courier New" w:eastAsia="Times New Roman" w:hAnsi="Courier New" w:cs="Courier New"/>
      <w:sz w:val="20"/>
      <w:szCs w:val="20"/>
      <w:lang w:eastAsia="es-ES"/>
    </w:rPr>
  </w:style>
  <w:style w:type="character" w:customStyle="1" w:styleId="Mencinsinresolver5">
    <w:name w:val="Mención sin resolver5"/>
    <w:basedOn w:val="Fuentedeprrafopredeter"/>
    <w:uiPriority w:val="99"/>
    <w:semiHidden/>
    <w:unhideWhenUsed/>
    <w:rsid w:val="00827B6E"/>
    <w:rPr>
      <w:color w:val="808080"/>
      <w:shd w:val="clear" w:color="auto" w:fill="E6E6E6"/>
    </w:rPr>
  </w:style>
  <w:style w:type="paragraph" w:styleId="NormalWeb">
    <w:name w:val="Normal (Web)"/>
    <w:basedOn w:val="Normal"/>
    <w:uiPriority w:val="99"/>
    <w:semiHidden/>
    <w:unhideWhenUsed/>
    <w:rsid w:val="002D100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encinsinresolver6">
    <w:name w:val="Mención sin resolver6"/>
    <w:basedOn w:val="Fuentedeprrafopredeter"/>
    <w:uiPriority w:val="99"/>
    <w:semiHidden/>
    <w:unhideWhenUsed/>
    <w:rsid w:val="00025B4C"/>
    <w:rPr>
      <w:color w:val="605E5C"/>
      <w:shd w:val="clear" w:color="auto" w:fill="E1DFDD"/>
    </w:rPr>
  </w:style>
  <w:style w:type="character" w:customStyle="1" w:styleId="Mencinsinresolver7">
    <w:name w:val="Mención sin resolver7"/>
    <w:basedOn w:val="Fuentedeprrafopredeter"/>
    <w:uiPriority w:val="99"/>
    <w:semiHidden/>
    <w:unhideWhenUsed/>
    <w:rsid w:val="00C778C6"/>
    <w:rPr>
      <w:color w:val="605E5C"/>
      <w:shd w:val="clear" w:color="auto" w:fill="E1DFDD"/>
    </w:rPr>
  </w:style>
  <w:style w:type="character" w:customStyle="1" w:styleId="negrita">
    <w:name w:val="negrita"/>
    <w:basedOn w:val="Fuentedeprrafopredeter"/>
    <w:rsid w:val="00105D43"/>
  </w:style>
  <w:style w:type="character" w:styleId="nfasis">
    <w:name w:val="Emphasis"/>
    <w:basedOn w:val="Fuentedeprrafopredeter"/>
    <w:uiPriority w:val="20"/>
    <w:qFormat/>
    <w:rsid w:val="00B01A17"/>
    <w:rPr>
      <w:i/>
      <w:iCs/>
    </w:rPr>
  </w:style>
  <w:style w:type="character" w:styleId="Mencinsinresolver">
    <w:name w:val="Unresolved Mention"/>
    <w:basedOn w:val="Fuentedeprrafopredeter"/>
    <w:uiPriority w:val="99"/>
    <w:semiHidden/>
    <w:unhideWhenUsed/>
    <w:rsid w:val="00725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45301">
      <w:bodyDiv w:val="1"/>
      <w:marLeft w:val="0"/>
      <w:marRight w:val="0"/>
      <w:marTop w:val="0"/>
      <w:marBottom w:val="0"/>
      <w:divBdr>
        <w:top w:val="none" w:sz="0" w:space="0" w:color="auto"/>
        <w:left w:val="none" w:sz="0" w:space="0" w:color="auto"/>
        <w:bottom w:val="none" w:sz="0" w:space="0" w:color="auto"/>
        <w:right w:val="none" w:sz="0" w:space="0" w:color="auto"/>
      </w:divBdr>
    </w:div>
    <w:div w:id="314190503">
      <w:bodyDiv w:val="1"/>
      <w:marLeft w:val="0"/>
      <w:marRight w:val="0"/>
      <w:marTop w:val="0"/>
      <w:marBottom w:val="0"/>
      <w:divBdr>
        <w:top w:val="none" w:sz="0" w:space="0" w:color="auto"/>
        <w:left w:val="none" w:sz="0" w:space="0" w:color="auto"/>
        <w:bottom w:val="none" w:sz="0" w:space="0" w:color="auto"/>
        <w:right w:val="none" w:sz="0" w:space="0" w:color="auto"/>
      </w:divBdr>
    </w:div>
    <w:div w:id="374503226">
      <w:bodyDiv w:val="1"/>
      <w:marLeft w:val="0"/>
      <w:marRight w:val="0"/>
      <w:marTop w:val="0"/>
      <w:marBottom w:val="0"/>
      <w:divBdr>
        <w:top w:val="none" w:sz="0" w:space="0" w:color="auto"/>
        <w:left w:val="none" w:sz="0" w:space="0" w:color="auto"/>
        <w:bottom w:val="none" w:sz="0" w:space="0" w:color="auto"/>
        <w:right w:val="none" w:sz="0" w:space="0" w:color="auto"/>
      </w:divBdr>
    </w:div>
    <w:div w:id="502665503">
      <w:bodyDiv w:val="1"/>
      <w:marLeft w:val="0"/>
      <w:marRight w:val="0"/>
      <w:marTop w:val="0"/>
      <w:marBottom w:val="0"/>
      <w:divBdr>
        <w:top w:val="none" w:sz="0" w:space="0" w:color="auto"/>
        <w:left w:val="none" w:sz="0" w:space="0" w:color="auto"/>
        <w:bottom w:val="none" w:sz="0" w:space="0" w:color="auto"/>
        <w:right w:val="none" w:sz="0" w:space="0" w:color="auto"/>
      </w:divBdr>
    </w:div>
    <w:div w:id="929778591">
      <w:bodyDiv w:val="1"/>
      <w:marLeft w:val="0"/>
      <w:marRight w:val="0"/>
      <w:marTop w:val="0"/>
      <w:marBottom w:val="0"/>
      <w:divBdr>
        <w:top w:val="none" w:sz="0" w:space="0" w:color="auto"/>
        <w:left w:val="none" w:sz="0" w:space="0" w:color="auto"/>
        <w:bottom w:val="none" w:sz="0" w:space="0" w:color="auto"/>
        <w:right w:val="none" w:sz="0" w:space="0" w:color="auto"/>
      </w:divBdr>
    </w:div>
    <w:div w:id="1188834479">
      <w:bodyDiv w:val="1"/>
      <w:marLeft w:val="0"/>
      <w:marRight w:val="0"/>
      <w:marTop w:val="0"/>
      <w:marBottom w:val="0"/>
      <w:divBdr>
        <w:top w:val="none" w:sz="0" w:space="0" w:color="auto"/>
        <w:left w:val="none" w:sz="0" w:space="0" w:color="auto"/>
        <w:bottom w:val="none" w:sz="0" w:space="0" w:color="auto"/>
        <w:right w:val="none" w:sz="0" w:space="0" w:color="auto"/>
      </w:divBdr>
    </w:div>
    <w:div w:id="1442064478">
      <w:bodyDiv w:val="1"/>
      <w:marLeft w:val="0"/>
      <w:marRight w:val="0"/>
      <w:marTop w:val="0"/>
      <w:marBottom w:val="0"/>
      <w:divBdr>
        <w:top w:val="none" w:sz="0" w:space="0" w:color="auto"/>
        <w:left w:val="none" w:sz="0" w:space="0" w:color="auto"/>
        <w:bottom w:val="none" w:sz="0" w:space="0" w:color="auto"/>
        <w:right w:val="none" w:sz="0" w:space="0" w:color="auto"/>
      </w:divBdr>
    </w:div>
    <w:div w:id="1656104582">
      <w:bodyDiv w:val="1"/>
      <w:marLeft w:val="0"/>
      <w:marRight w:val="0"/>
      <w:marTop w:val="0"/>
      <w:marBottom w:val="0"/>
      <w:divBdr>
        <w:top w:val="none" w:sz="0" w:space="0" w:color="auto"/>
        <w:left w:val="none" w:sz="0" w:space="0" w:color="auto"/>
        <w:bottom w:val="none" w:sz="0" w:space="0" w:color="auto"/>
        <w:right w:val="none" w:sz="0" w:space="0" w:color="auto"/>
      </w:divBdr>
    </w:div>
    <w:div w:id="1680505471">
      <w:bodyDiv w:val="1"/>
      <w:marLeft w:val="0"/>
      <w:marRight w:val="0"/>
      <w:marTop w:val="0"/>
      <w:marBottom w:val="0"/>
      <w:divBdr>
        <w:top w:val="none" w:sz="0" w:space="0" w:color="auto"/>
        <w:left w:val="none" w:sz="0" w:space="0" w:color="auto"/>
        <w:bottom w:val="none" w:sz="0" w:space="0" w:color="auto"/>
        <w:right w:val="none" w:sz="0" w:space="0" w:color="auto"/>
      </w:divBdr>
    </w:div>
    <w:div w:id="1899238864">
      <w:bodyDiv w:val="1"/>
      <w:marLeft w:val="0"/>
      <w:marRight w:val="0"/>
      <w:marTop w:val="0"/>
      <w:marBottom w:val="0"/>
      <w:divBdr>
        <w:top w:val="none" w:sz="0" w:space="0" w:color="auto"/>
        <w:left w:val="none" w:sz="0" w:space="0" w:color="auto"/>
        <w:bottom w:val="none" w:sz="0" w:space="0" w:color="auto"/>
        <w:right w:val="none" w:sz="0" w:space="0" w:color="auto"/>
      </w:divBdr>
    </w:div>
    <w:div w:id="1977950685">
      <w:bodyDiv w:val="1"/>
      <w:marLeft w:val="0"/>
      <w:marRight w:val="0"/>
      <w:marTop w:val="0"/>
      <w:marBottom w:val="0"/>
      <w:divBdr>
        <w:top w:val="none" w:sz="0" w:space="0" w:color="auto"/>
        <w:left w:val="none" w:sz="0" w:space="0" w:color="auto"/>
        <w:bottom w:val="none" w:sz="0" w:space="0" w:color="auto"/>
        <w:right w:val="none" w:sz="0" w:space="0" w:color="auto"/>
      </w:divBdr>
    </w:div>
    <w:div w:id="206721495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asocex.es/wp-content/uploads/2018/11/GPF-OCEX-5330_Revision_CGTI.pdf" TargetMode="External"/><Relationship Id="rId26" Type="http://schemas.openxmlformats.org/officeDocument/2006/relationships/hyperlink" Target="https://boe.es/buscar/act.php?id=BOE-A-2010-1330" TargetMode="External"/><Relationship Id="rId3" Type="http://schemas.openxmlformats.org/officeDocument/2006/relationships/styles" Target="styles.xml"/><Relationship Id="rId21" Type="http://schemas.openxmlformats.org/officeDocument/2006/relationships/hyperlink" Target="https://www.ccn-cert.cni.es/series-ccn-stic/800-guia-esquema-nacional-de-seguridad/518-ccn-stic-808-verificacion-del-cumplimiento-de-las-medidas-en-el-ens-borrador.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cn-cert.cni.es/pdf/guias/series-ccn-stic/800-guia-esquema-nacional-de-seguridad/4578-ccn-stic-886-perfil-de-cumplimiento-especifico-de-cloud-privados/file.html" TargetMode="External"/><Relationship Id="rId17" Type="http://schemas.openxmlformats.org/officeDocument/2006/relationships/hyperlink" Target="http://asocex.es/wp-content/uploads/2018/11/GPF-OCEX-5313-01-Guia-basica-de-Ciberseguridad-v20181112.pdf" TargetMode="External"/><Relationship Id="rId25" Type="http://schemas.openxmlformats.org/officeDocument/2006/relationships/hyperlink" Target="https://administracionelectronica.gob.es/pae_Home/dam/jcr:46d3ed20-deec-447b-85d9-85243292979a/Diccionario_AE_4a_ed_PDF_Solano_para_SGAD_2019-feb.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socex.es/wp-content/uploads/2017/12/GPF-OCEX-5311_Ciberseguridad.pdf" TargetMode="External"/><Relationship Id="rId20" Type="http://schemas.openxmlformats.org/officeDocument/2006/relationships/hyperlink" Target="https://www.ccn-cert.cni.es/series-ccn-stic/800-guia-esquema-nacional-de-seguridad/518-ccn-stic-808-verificacion-del-cumplimiento-de-las-medidas-en-el-ens-borrador.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n-cert.cni.es/pdf/guias/series-ccn-stic/800-guia-esquema-nacional-de-seguridad/4578-ccn-stic-886-perfil-de-cumplimiento-especifico-de-cloud-privados/file.html" TargetMode="External"/><Relationship Id="rId24" Type="http://schemas.openxmlformats.org/officeDocument/2006/relationships/hyperlink" Target="https://csrc.nist.gov/publications/detail/sp/800-145/final"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asocex.es/normativa-de-auditoria" TargetMode="External"/><Relationship Id="rId23" Type="http://schemas.openxmlformats.org/officeDocument/2006/relationships/hyperlink" Target="https://www.cloudsecurityalliance.org/" TargetMode="External"/><Relationship Id="rId28" Type="http://schemas.openxmlformats.org/officeDocument/2006/relationships/footer" Target="footer1.xml"/><Relationship Id="rId10" Type="http://schemas.openxmlformats.org/officeDocument/2006/relationships/hyperlink" Target="https://www.ccn-cert.cni.es/series-ccn-stic/800-guia-esquema-nacional-de-seguridad/541-ccn-stic-823-seguridad-en-entornos-cloud/file.html" TargetMode="External"/><Relationship Id="rId19" Type="http://schemas.openxmlformats.org/officeDocument/2006/relationships/hyperlink" Target="https://www.ccn-cert.cni.es/guias/guias-series-ccn-stic/800-guia-esquema-nacional-de-seguridad.htm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cn-cert.cni.es/series-ccn-stic/800-guia-esquema-nacional-de-seguridad/541-ccn-stic-823-seguridad-en-entornos-cloud/file.html" TargetMode="External"/><Relationship Id="rId14" Type="http://schemas.openxmlformats.org/officeDocument/2006/relationships/image" Target="media/image3.png"/><Relationship Id="rId22" Type="http://schemas.openxmlformats.org/officeDocument/2006/relationships/hyperlink" Target="https://www.cisecurity.org/white-papers/cis-controls-cloud-companion-guide/"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ccn-cert.cni.es/series-ccn-stic/800-guia-esquema-nacional-de-seguridad/518-ccn-stic-808-verificacion-del-cumplimiento-de-las-medidas-en-el-ens-borrador.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A8FFC-E38A-4BB3-AED1-4A99F5FB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19</Pages>
  <Words>8858</Words>
  <Characters>48719</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García Burgos</dc:creator>
  <cp:keywords/>
  <dc:description/>
  <cp:lastModifiedBy>Antonio Minguillon Roy</cp:lastModifiedBy>
  <cp:revision>8</cp:revision>
  <cp:lastPrinted>2020-02-19T08:57:00Z</cp:lastPrinted>
  <dcterms:created xsi:type="dcterms:W3CDTF">2020-02-18T10:11:00Z</dcterms:created>
  <dcterms:modified xsi:type="dcterms:W3CDTF">2020-02-19T08:57:00Z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1658356796</vt:i4>
  </property>
</Properties>
</file>